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BD" w:rsidRDefault="004A21BD" w:rsidP="00103B9C">
      <w:pPr>
        <w:widowControl w:val="0"/>
        <w:spacing w:before="100" w:beforeAutospacing="1" w:after="100" w:afterAutospacing="1" w:line="360" w:lineRule="auto"/>
        <w:ind w:right="49"/>
        <w:jc w:val="both"/>
        <w:rPr>
          <w:rFonts w:ascii="Palatino Linotype" w:eastAsia="Calibri" w:hAnsi="Palatino Linotype" w:cs="Arial"/>
          <w:b/>
          <w:color w:val="000000"/>
          <w:szCs w:val="22"/>
        </w:rPr>
      </w:pPr>
      <w:r w:rsidRPr="004F468F">
        <w:rPr>
          <w:rFonts w:ascii="Palatino Linotype" w:hAnsi="Palatino Linotype" w:cs="Arial"/>
          <w:b/>
          <w:szCs w:val="22"/>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szCs w:val="22"/>
        </w:rPr>
        <w:t>SEGUNDA</w:t>
      </w:r>
      <w:r w:rsidRPr="004F468F">
        <w:rPr>
          <w:rFonts w:ascii="Palatino Linotype" w:hAnsi="Palatino Linotype" w:cs="Arial"/>
          <w:b/>
          <w:szCs w:val="22"/>
        </w:rPr>
        <w:t xml:space="preserve"> SESIÓN ORDINARIA DE </w:t>
      </w:r>
      <w:r>
        <w:rPr>
          <w:rFonts w:ascii="Palatino Linotype" w:hAnsi="Palatino Linotype" w:cs="Arial"/>
          <w:b/>
          <w:szCs w:val="22"/>
        </w:rPr>
        <w:t>DIECISÉIS DE ENERO DE</w:t>
      </w:r>
      <w:r w:rsidRPr="004F468F">
        <w:rPr>
          <w:rFonts w:ascii="Palatino Linotype" w:hAnsi="Palatino Linotype" w:cs="Arial"/>
          <w:b/>
          <w:szCs w:val="22"/>
        </w:rPr>
        <w:t xml:space="preserve"> DOS MIL DIECI</w:t>
      </w:r>
      <w:r>
        <w:rPr>
          <w:rFonts w:ascii="Palatino Linotype" w:hAnsi="Palatino Linotype" w:cs="Arial"/>
          <w:b/>
          <w:szCs w:val="22"/>
        </w:rPr>
        <w:t>NUEVE</w:t>
      </w:r>
      <w:r w:rsidRPr="004F468F">
        <w:rPr>
          <w:rFonts w:ascii="Palatino Linotype" w:hAnsi="Palatino Linotype" w:cs="Arial"/>
          <w:b/>
          <w:szCs w:val="22"/>
        </w:rPr>
        <w:t>, EN EL RECURSO DE REVISIÓN 0</w:t>
      </w:r>
      <w:r>
        <w:rPr>
          <w:rFonts w:ascii="Palatino Linotype" w:hAnsi="Palatino Linotype" w:cs="Arial"/>
          <w:b/>
          <w:szCs w:val="22"/>
        </w:rPr>
        <w:t>4103</w:t>
      </w:r>
      <w:r w:rsidRPr="004F468F">
        <w:rPr>
          <w:rFonts w:ascii="Palatino Linotype" w:hAnsi="Palatino Linotype" w:cs="Arial"/>
          <w:b/>
          <w:szCs w:val="22"/>
        </w:rPr>
        <w:t>/INFOEM/IP/RR/2018</w:t>
      </w:r>
      <w:r w:rsidRPr="004F468F">
        <w:rPr>
          <w:rFonts w:ascii="Palatino Linotype" w:eastAsia="Calibri" w:hAnsi="Palatino Linotype" w:cs="Arial"/>
          <w:b/>
          <w:color w:val="000000"/>
          <w:szCs w:val="22"/>
        </w:rPr>
        <w:t>.</w:t>
      </w:r>
    </w:p>
    <w:p w:rsidR="004A21BD" w:rsidRDefault="004A21BD" w:rsidP="00103B9C">
      <w:pPr>
        <w:spacing w:before="100" w:beforeAutospacing="1" w:after="100" w:afterAutospacing="1" w:line="360" w:lineRule="auto"/>
        <w:ind w:right="49"/>
        <w:jc w:val="both"/>
        <w:rPr>
          <w:rFonts w:ascii="Palatino Linotype" w:hAnsi="Palatino Linotype" w:cs="Arial"/>
          <w:szCs w:val="22"/>
        </w:rPr>
      </w:pPr>
      <w:r w:rsidRPr="004F468F">
        <w:rPr>
          <w:rFonts w:ascii="Palatino Linotype" w:hAnsi="Palatino Linotype" w:cs="Arial"/>
          <w:szCs w:val="22"/>
        </w:rPr>
        <w:t>Con fundamento en lo dispuesto por el artículo 14</w:t>
      </w:r>
      <w:r>
        <w:rPr>
          <w:rFonts w:ascii="Palatino Linotype" w:hAnsi="Palatino Linotype" w:cs="Arial"/>
          <w:szCs w:val="22"/>
        </w:rPr>
        <w:t>,</w:t>
      </w:r>
      <w:r w:rsidRPr="004F468F">
        <w:rPr>
          <w:rFonts w:ascii="Palatino Linotype" w:hAnsi="Palatino Linotype" w:cs="Arial"/>
          <w:szCs w:val="22"/>
        </w:rPr>
        <w:t xml:space="preserve"> fracciones X y XI del Reglamento Interior del Instituto de Transparencia, Acceso a la Información Pública y Protección de Datos Personales del Estado de México y Municipios, la que suscribe</w:t>
      </w:r>
      <w:r w:rsidRPr="004F468F">
        <w:rPr>
          <w:rFonts w:ascii="Palatino Linotype" w:hAnsi="Palatino Linotype" w:cs="Arial"/>
          <w:b/>
          <w:szCs w:val="22"/>
          <w:lang w:val="es-ES_tradnl"/>
        </w:rPr>
        <w:t xml:space="preserve"> </w:t>
      </w:r>
      <w:r w:rsidRPr="004F468F">
        <w:rPr>
          <w:rFonts w:ascii="Palatino Linotype" w:hAnsi="Palatino Linotype" w:cs="Arial"/>
          <w:b/>
          <w:szCs w:val="22"/>
        </w:rPr>
        <w:t xml:space="preserve">EVA ABAID YAPUR </w:t>
      </w:r>
      <w:r w:rsidRPr="004F468F">
        <w:rPr>
          <w:rFonts w:ascii="Palatino Linotype" w:hAnsi="Palatino Linotype" w:cs="Arial"/>
          <w:szCs w:val="22"/>
        </w:rPr>
        <w:t xml:space="preserve">emite </w:t>
      </w:r>
      <w:r w:rsidRPr="004F468F">
        <w:rPr>
          <w:rFonts w:ascii="Palatino Linotype" w:hAnsi="Palatino Linotype" w:cs="Arial"/>
          <w:b/>
          <w:szCs w:val="22"/>
        </w:rPr>
        <w:t xml:space="preserve">VOTO PARTICULAR </w:t>
      </w:r>
      <w:r w:rsidRPr="004F468F">
        <w:rPr>
          <w:rFonts w:ascii="Palatino Linotype" w:hAnsi="Palatino Linotype" w:cs="Arial"/>
          <w:szCs w:val="22"/>
        </w:rPr>
        <w:t xml:space="preserve">respecto de la resolución dictada en el recurso de revisión </w:t>
      </w:r>
      <w:r w:rsidRPr="004F468F">
        <w:rPr>
          <w:rFonts w:ascii="Palatino Linotype" w:eastAsia="Calibri" w:hAnsi="Palatino Linotype" w:cs="Arial"/>
          <w:b/>
          <w:color w:val="000000"/>
          <w:szCs w:val="22"/>
        </w:rPr>
        <w:t>0</w:t>
      </w:r>
      <w:r>
        <w:rPr>
          <w:rFonts w:ascii="Palatino Linotype" w:eastAsia="Calibri" w:hAnsi="Palatino Linotype" w:cs="Arial"/>
          <w:b/>
          <w:color w:val="000000"/>
          <w:szCs w:val="22"/>
        </w:rPr>
        <w:t>4103</w:t>
      </w:r>
      <w:r w:rsidRPr="004F468F">
        <w:rPr>
          <w:rFonts w:ascii="Palatino Linotype" w:eastAsia="Calibri" w:hAnsi="Palatino Linotype" w:cs="Arial"/>
          <w:b/>
          <w:color w:val="000000"/>
          <w:szCs w:val="22"/>
        </w:rPr>
        <w:t>/INFOEM/IP/RR/2018</w:t>
      </w:r>
      <w:r w:rsidRPr="004F468F">
        <w:rPr>
          <w:rFonts w:ascii="Palatino Linotype" w:hAnsi="Palatino Linotype" w:cs="Arial"/>
          <w:szCs w:val="22"/>
        </w:rPr>
        <w:t xml:space="preserve">, pronunciada por el Pleno de este Instituto ante el proyecto presentado por </w:t>
      </w:r>
      <w:r>
        <w:rPr>
          <w:rFonts w:ascii="Palatino Linotype" w:hAnsi="Palatino Linotype" w:cs="Arial"/>
          <w:szCs w:val="22"/>
        </w:rPr>
        <w:t>el</w:t>
      </w:r>
      <w:r w:rsidRPr="004F468F">
        <w:rPr>
          <w:rFonts w:ascii="Palatino Linotype" w:hAnsi="Palatino Linotype" w:cs="Arial"/>
          <w:szCs w:val="22"/>
        </w:rPr>
        <w:t xml:space="preserve"> Comisionad</w:t>
      </w:r>
      <w:r>
        <w:rPr>
          <w:rFonts w:ascii="Palatino Linotype" w:hAnsi="Palatino Linotype" w:cs="Arial"/>
          <w:szCs w:val="22"/>
        </w:rPr>
        <w:t xml:space="preserve">o </w:t>
      </w:r>
      <w:r w:rsidRPr="004F468F">
        <w:rPr>
          <w:rFonts w:ascii="Palatino Linotype" w:hAnsi="Palatino Linotype" w:cs="Arial"/>
          <w:b/>
          <w:szCs w:val="22"/>
        </w:rPr>
        <w:t>JOSÉ GUADALUPE LUNA HERNÁNDEZ</w:t>
      </w:r>
      <w:r w:rsidRPr="004F468F">
        <w:rPr>
          <w:rFonts w:ascii="Palatino Linotype" w:hAnsi="Palatino Linotype" w:cs="Arial"/>
          <w:szCs w:val="22"/>
        </w:rPr>
        <w:t>, que es del tenor siguiente.</w:t>
      </w:r>
    </w:p>
    <w:p w:rsidR="004A21BD" w:rsidRDefault="004A21BD" w:rsidP="00103B9C">
      <w:pPr>
        <w:spacing w:before="100" w:beforeAutospacing="1" w:after="100" w:afterAutospacing="1" w:line="360" w:lineRule="auto"/>
        <w:ind w:right="49"/>
        <w:jc w:val="both"/>
        <w:rPr>
          <w:rFonts w:ascii="Palatino Linotype" w:hAnsi="Palatino Linotype"/>
          <w:szCs w:val="22"/>
        </w:rPr>
      </w:pPr>
      <w:r w:rsidRPr="004F468F">
        <w:rPr>
          <w:rFonts w:ascii="Palatino Linotype" w:hAnsi="Palatino Linotype"/>
          <w:szCs w:val="22"/>
        </w:rPr>
        <w:t>Es de destacar, que la suscrita comparte esencialmente el estudio realizado en la resolución del recurso de revisión; empero, estimo necesario precisar algunas consideraciones de hecho y de derecho, tocante a parte de lo que se ordena en la resolución correspondiente.</w:t>
      </w:r>
    </w:p>
    <w:p w:rsidR="003A75CC" w:rsidRDefault="004A21BD" w:rsidP="00103B9C">
      <w:pPr>
        <w:spacing w:before="100" w:beforeAutospacing="1" w:after="100" w:afterAutospacing="1" w:line="360" w:lineRule="auto"/>
        <w:ind w:right="49"/>
        <w:jc w:val="both"/>
        <w:rPr>
          <w:rFonts w:ascii="Palatino Linotype" w:hAnsi="Palatino Linotype" w:cs="Arial"/>
          <w:lang w:eastAsia="es-MX"/>
        </w:rPr>
      </w:pPr>
      <w:r>
        <w:rPr>
          <w:rFonts w:ascii="Palatino Linotype" w:hAnsi="Palatino Linotype"/>
          <w:szCs w:val="22"/>
        </w:rPr>
        <w:t>Tal</w:t>
      </w:r>
      <w:r w:rsidRPr="004F468F">
        <w:rPr>
          <w:rFonts w:ascii="Palatino Linotype" w:hAnsi="Palatino Linotype"/>
          <w:szCs w:val="22"/>
        </w:rPr>
        <w:t xml:space="preserve"> y como quedó debidamente asentado en la resolució</w:t>
      </w:r>
      <w:r>
        <w:rPr>
          <w:rFonts w:ascii="Palatino Linotype" w:hAnsi="Palatino Linotype"/>
          <w:szCs w:val="22"/>
        </w:rPr>
        <w:t xml:space="preserve">n materia del presente voto, la </w:t>
      </w:r>
      <w:r w:rsidRPr="004F468F">
        <w:rPr>
          <w:rFonts w:ascii="Palatino Linotype" w:hAnsi="Palatino Linotype"/>
          <w:szCs w:val="22"/>
        </w:rPr>
        <w:t xml:space="preserve">particular requirió del </w:t>
      </w:r>
      <w:r w:rsidRPr="004F468F">
        <w:rPr>
          <w:rFonts w:ascii="Palatino Linotype" w:hAnsi="Palatino Linotype"/>
          <w:b/>
          <w:szCs w:val="22"/>
        </w:rPr>
        <w:t xml:space="preserve">Ayuntamiento de </w:t>
      </w:r>
      <w:r>
        <w:rPr>
          <w:rFonts w:ascii="Palatino Linotype" w:hAnsi="Palatino Linotype"/>
          <w:b/>
          <w:szCs w:val="22"/>
        </w:rPr>
        <w:t>Tianguistenco,</w:t>
      </w:r>
      <w:r w:rsidRPr="004F468F">
        <w:rPr>
          <w:rFonts w:ascii="Palatino Linotype" w:hAnsi="Palatino Linotype"/>
          <w:b/>
          <w:szCs w:val="22"/>
        </w:rPr>
        <w:t xml:space="preserve"> </w:t>
      </w:r>
      <w:r w:rsidRPr="004F468F">
        <w:rPr>
          <w:rFonts w:ascii="Palatino Linotype" w:hAnsi="Palatino Linotype"/>
          <w:szCs w:val="22"/>
        </w:rPr>
        <w:t xml:space="preserve">en lo subsecuente </w:t>
      </w:r>
      <w:r w:rsidRPr="004F468F">
        <w:rPr>
          <w:rFonts w:ascii="Palatino Linotype" w:hAnsi="Palatino Linotype"/>
          <w:b/>
          <w:szCs w:val="22"/>
        </w:rPr>
        <w:t>EL</w:t>
      </w:r>
      <w:r w:rsidRPr="004F468F">
        <w:rPr>
          <w:rFonts w:ascii="Palatino Linotype" w:hAnsi="Palatino Linotype"/>
          <w:szCs w:val="22"/>
        </w:rPr>
        <w:t xml:space="preserve"> </w:t>
      </w:r>
      <w:r w:rsidRPr="004F468F">
        <w:rPr>
          <w:rFonts w:ascii="Palatino Linotype" w:hAnsi="Palatino Linotype"/>
          <w:b/>
          <w:szCs w:val="22"/>
        </w:rPr>
        <w:t>SUJETO OBLIGADO,</w:t>
      </w:r>
      <w:r w:rsidRPr="004F468F">
        <w:rPr>
          <w:rFonts w:ascii="Palatino Linotype" w:hAnsi="Palatino Linotype"/>
          <w:szCs w:val="22"/>
        </w:rPr>
        <w:t xml:space="preserve"> </w:t>
      </w:r>
      <w:r w:rsidR="003A75CC">
        <w:rPr>
          <w:rFonts w:ascii="Palatino Linotype" w:hAnsi="Palatino Linotype" w:cs="Arial"/>
          <w:lang w:eastAsia="es-MX"/>
        </w:rPr>
        <w:t xml:space="preserve">la </w:t>
      </w:r>
      <w:r w:rsidRPr="00C53DFD">
        <w:rPr>
          <w:rFonts w:ascii="Palatino Linotype" w:hAnsi="Palatino Linotype" w:cs="Arial"/>
          <w:lang w:eastAsia="es-MX"/>
        </w:rPr>
        <w:t>información</w:t>
      </w:r>
      <w:r w:rsidR="003A75CC">
        <w:rPr>
          <w:rFonts w:ascii="Palatino Linotype" w:hAnsi="Palatino Linotype" w:cs="Arial"/>
          <w:lang w:eastAsia="es-MX"/>
        </w:rPr>
        <w:t xml:space="preserve"> que a continuación se desagrega:</w:t>
      </w:r>
    </w:p>
    <w:p w:rsidR="003A75CC" w:rsidRPr="00C53DFD" w:rsidRDefault="003A75CC" w:rsidP="00103B9C">
      <w:pPr>
        <w:pStyle w:val="Prrafodelista"/>
        <w:numPr>
          <w:ilvl w:val="0"/>
          <w:numId w:val="3"/>
        </w:numPr>
        <w:spacing w:before="100" w:beforeAutospacing="1" w:after="100" w:afterAutospacing="1" w:line="360" w:lineRule="auto"/>
        <w:ind w:left="1276" w:right="899"/>
        <w:contextualSpacing w:val="0"/>
        <w:jc w:val="both"/>
        <w:rPr>
          <w:rFonts w:ascii="Palatino Linotype" w:eastAsia="MS Mincho" w:hAnsi="Palatino Linotype" w:cs="Times New Roman"/>
        </w:rPr>
      </w:pPr>
      <w:r w:rsidRPr="00C53DFD">
        <w:rPr>
          <w:rFonts w:ascii="Palatino Linotype" w:eastAsia="MS Mincho" w:hAnsi="Palatino Linotype" w:cs="Times New Roman"/>
        </w:rPr>
        <w:lastRenderedPageBreak/>
        <w:t>La orden y reporte dado de la policía municipal que ha acudido al tianguis del trueque del 15 de julio a la fecha de la presentación de la solicitud;</w:t>
      </w:r>
    </w:p>
    <w:p w:rsidR="003A75CC" w:rsidRPr="00C53DFD" w:rsidRDefault="003A75CC" w:rsidP="00103B9C">
      <w:pPr>
        <w:pStyle w:val="Prrafodelista"/>
        <w:numPr>
          <w:ilvl w:val="0"/>
          <w:numId w:val="3"/>
        </w:numPr>
        <w:spacing w:before="100" w:beforeAutospacing="1" w:after="100" w:afterAutospacing="1" w:line="360" w:lineRule="auto"/>
        <w:ind w:left="1276" w:right="899"/>
        <w:contextualSpacing w:val="0"/>
        <w:jc w:val="both"/>
        <w:rPr>
          <w:rFonts w:ascii="Palatino Linotype" w:eastAsia="MS Mincho" w:hAnsi="Palatino Linotype" w:cs="Times New Roman"/>
          <w:lang w:val="es-MX"/>
        </w:rPr>
      </w:pPr>
      <w:r w:rsidRPr="00C53DFD">
        <w:rPr>
          <w:rFonts w:ascii="Palatino Linotype" w:eastAsia="MS Mincho" w:hAnsi="Palatino Linotype" w:cs="Times New Roman"/>
          <w:lang w:val="es-MX"/>
        </w:rPr>
        <w:t xml:space="preserve">Las solicitudes de apoyo que ha realizado el ayuntamiento para que se presentará la policía estatal en el lugar conocido como tianguis del Trueque en el periodo comprendido del 15 de </w:t>
      </w:r>
      <w:r w:rsidRPr="00C53DFD">
        <w:rPr>
          <w:rFonts w:ascii="Palatino Linotype" w:eastAsia="MS Mincho" w:hAnsi="Palatino Linotype" w:cs="Times New Roman"/>
        </w:rPr>
        <w:t>julio a la fecha de la presentación de la solicitud;</w:t>
      </w:r>
    </w:p>
    <w:p w:rsidR="003A75CC" w:rsidRPr="00C53DFD" w:rsidRDefault="003A75CC" w:rsidP="00103B9C">
      <w:pPr>
        <w:pStyle w:val="Prrafodelista"/>
        <w:numPr>
          <w:ilvl w:val="0"/>
          <w:numId w:val="3"/>
        </w:numPr>
        <w:spacing w:before="100" w:beforeAutospacing="1" w:after="100" w:afterAutospacing="1" w:line="360" w:lineRule="auto"/>
        <w:ind w:left="1276" w:right="899"/>
        <w:contextualSpacing w:val="0"/>
        <w:jc w:val="both"/>
        <w:rPr>
          <w:rFonts w:ascii="Palatino Linotype" w:eastAsia="MS Mincho" w:hAnsi="Palatino Linotype" w:cs="Times New Roman"/>
        </w:rPr>
      </w:pPr>
      <w:r w:rsidRPr="00C53DFD">
        <w:rPr>
          <w:rFonts w:ascii="Palatino Linotype" w:eastAsia="MS Mincho" w:hAnsi="Palatino Linotype" w:cs="Times New Roman"/>
        </w:rPr>
        <w:t xml:space="preserve">Las acciones realizadas durante la presente administración relativas a la regulación de tianguis del Trueque; </w:t>
      </w:r>
    </w:p>
    <w:p w:rsidR="003A75CC" w:rsidRPr="00C53DFD" w:rsidRDefault="003A75CC" w:rsidP="00103B9C">
      <w:pPr>
        <w:pStyle w:val="Prrafodelista"/>
        <w:numPr>
          <w:ilvl w:val="0"/>
          <w:numId w:val="3"/>
        </w:numPr>
        <w:spacing w:before="100" w:beforeAutospacing="1" w:after="100" w:afterAutospacing="1" w:line="360" w:lineRule="auto"/>
        <w:ind w:left="1276" w:right="899"/>
        <w:contextualSpacing w:val="0"/>
        <w:jc w:val="both"/>
        <w:rPr>
          <w:rFonts w:ascii="Palatino Linotype" w:eastAsia="MS Mincho" w:hAnsi="Palatino Linotype" w:cs="Times New Roman"/>
        </w:rPr>
      </w:pPr>
      <w:r w:rsidRPr="00C53DFD">
        <w:rPr>
          <w:rFonts w:ascii="Palatino Linotype" w:eastAsia="MS Mincho" w:hAnsi="Palatino Linotype" w:cs="Times New Roman"/>
        </w:rPr>
        <w:t xml:space="preserve">Credenciales expedidas en calidad de </w:t>
      </w:r>
      <w:proofErr w:type="spellStart"/>
      <w:r w:rsidRPr="00C53DFD">
        <w:rPr>
          <w:rFonts w:ascii="Palatino Linotype" w:eastAsia="MS Mincho" w:hAnsi="Palatino Linotype" w:cs="Times New Roman"/>
        </w:rPr>
        <w:t>truequero</w:t>
      </w:r>
      <w:proofErr w:type="spellEnd"/>
      <w:r w:rsidRPr="00C53DFD">
        <w:rPr>
          <w:rFonts w:ascii="Palatino Linotype" w:eastAsia="MS Mincho" w:hAnsi="Palatino Linotype" w:cs="Times New Roman"/>
        </w:rPr>
        <w:t xml:space="preserve"> o </w:t>
      </w:r>
      <w:proofErr w:type="spellStart"/>
      <w:r w:rsidRPr="00C53DFD">
        <w:rPr>
          <w:rFonts w:ascii="Palatino Linotype" w:eastAsia="MS Mincho" w:hAnsi="Palatino Linotype" w:cs="Times New Roman"/>
        </w:rPr>
        <w:t>truequera</w:t>
      </w:r>
      <w:proofErr w:type="spellEnd"/>
      <w:r w:rsidRPr="00C53DFD">
        <w:rPr>
          <w:rFonts w:ascii="Palatino Linotype" w:eastAsia="MS Mincho" w:hAnsi="Palatino Linotype" w:cs="Times New Roman"/>
        </w:rPr>
        <w:t xml:space="preserve"> durante la presente administración;</w:t>
      </w:r>
    </w:p>
    <w:p w:rsidR="003A75CC" w:rsidRPr="00C53DFD" w:rsidRDefault="003A75CC" w:rsidP="00103B9C">
      <w:pPr>
        <w:pStyle w:val="Prrafodelista"/>
        <w:numPr>
          <w:ilvl w:val="0"/>
          <w:numId w:val="3"/>
        </w:numPr>
        <w:spacing w:before="100" w:beforeAutospacing="1" w:after="100" w:afterAutospacing="1" w:line="360" w:lineRule="auto"/>
        <w:ind w:left="1276" w:right="899"/>
        <w:contextualSpacing w:val="0"/>
        <w:jc w:val="both"/>
        <w:rPr>
          <w:rFonts w:ascii="Palatino Linotype" w:eastAsia="MS Mincho" w:hAnsi="Palatino Linotype" w:cs="Times New Roman"/>
        </w:rPr>
      </w:pPr>
      <w:r w:rsidRPr="00C53DFD">
        <w:rPr>
          <w:rFonts w:ascii="Palatino Linotype" w:eastAsia="MS Mincho" w:hAnsi="Palatino Linotype" w:cs="Times New Roman"/>
        </w:rPr>
        <w:t xml:space="preserve">Aviso, informe, constancia, acta o cualquier otro donde conste la votación que realizaron los </w:t>
      </w:r>
      <w:proofErr w:type="spellStart"/>
      <w:r w:rsidRPr="00C53DFD">
        <w:rPr>
          <w:rFonts w:ascii="Palatino Linotype" w:eastAsia="MS Mincho" w:hAnsi="Palatino Linotype" w:cs="Times New Roman"/>
        </w:rPr>
        <w:t>truequeros</w:t>
      </w:r>
      <w:proofErr w:type="spellEnd"/>
      <w:r w:rsidRPr="00C53DFD">
        <w:rPr>
          <w:rFonts w:ascii="Palatino Linotype" w:eastAsia="MS Mincho" w:hAnsi="Palatino Linotype" w:cs="Times New Roman"/>
        </w:rPr>
        <w:t xml:space="preserve"> en la elección del Consejo Municipal Indígena del Trueque;</w:t>
      </w:r>
    </w:p>
    <w:p w:rsidR="003A75CC" w:rsidRPr="00C53DFD" w:rsidRDefault="003A75CC" w:rsidP="00103B9C">
      <w:pPr>
        <w:pStyle w:val="Prrafodelista"/>
        <w:numPr>
          <w:ilvl w:val="0"/>
          <w:numId w:val="3"/>
        </w:numPr>
        <w:spacing w:before="100" w:beforeAutospacing="1" w:after="100" w:afterAutospacing="1" w:line="360" w:lineRule="auto"/>
        <w:ind w:left="1276" w:right="899"/>
        <w:contextualSpacing w:val="0"/>
        <w:jc w:val="both"/>
        <w:rPr>
          <w:rFonts w:ascii="Palatino Linotype" w:eastAsia="MS Mincho" w:hAnsi="Palatino Linotype" w:cs="Times New Roman"/>
        </w:rPr>
      </w:pPr>
      <w:r w:rsidRPr="00C53DFD">
        <w:rPr>
          <w:rFonts w:ascii="Palatino Linotype" w:eastAsia="MS Mincho" w:hAnsi="Palatino Linotype" w:cs="Times New Roman"/>
        </w:rPr>
        <w:t xml:space="preserve">Documento donde se reconoce de manera oficial por parte del Ayuntamiento como miembros del Consejo Municipal Indígena del Trueque al presidente, secretario y tesorero, de las personas citadas en la solicitud de información; </w:t>
      </w:r>
    </w:p>
    <w:p w:rsidR="003A75CC" w:rsidRPr="00C53DFD" w:rsidRDefault="003A75CC" w:rsidP="00103B9C">
      <w:pPr>
        <w:pStyle w:val="Prrafodelista"/>
        <w:numPr>
          <w:ilvl w:val="0"/>
          <w:numId w:val="3"/>
        </w:numPr>
        <w:spacing w:before="100" w:beforeAutospacing="1" w:after="100" w:afterAutospacing="1" w:line="360" w:lineRule="auto"/>
        <w:ind w:left="1276" w:right="899"/>
        <w:contextualSpacing w:val="0"/>
        <w:jc w:val="both"/>
        <w:rPr>
          <w:rFonts w:ascii="Palatino Linotype" w:eastAsia="MS Mincho" w:hAnsi="Palatino Linotype" w:cs="Times New Roman"/>
        </w:rPr>
      </w:pPr>
      <w:r w:rsidRPr="00C53DFD">
        <w:rPr>
          <w:rFonts w:ascii="Palatino Linotype" w:eastAsia="MS Mincho" w:hAnsi="Palatino Linotype" w:cs="Times New Roman"/>
        </w:rPr>
        <w:t xml:space="preserve">Fotografías, informes, reportes o cualquier otro generado, administrado o con el que cuente el Ayuntamiento que contenga información con relación al evento público realizado el día 26 de septiembre de 2017 en el que se acreditó a los integrantes del </w:t>
      </w:r>
      <w:r w:rsidRPr="00C53DFD">
        <w:rPr>
          <w:rFonts w:ascii="Palatino Linotype" w:eastAsia="MS Mincho" w:hAnsi="Palatino Linotype" w:cs="Times New Roman"/>
        </w:rPr>
        <w:lastRenderedPageBreak/>
        <w:t>Consejo Indígena del Trueque y en el cual participó el Diputado Raymundo Garza Vilchis.</w:t>
      </w:r>
    </w:p>
    <w:p w:rsidR="003A75CC" w:rsidRPr="00C53DFD" w:rsidRDefault="003A75CC" w:rsidP="00103B9C">
      <w:pPr>
        <w:pStyle w:val="Prrafodelista"/>
        <w:numPr>
          <w:ilvl w:val="0"/>
          <w:numId w:val="3"/>
        </w:numPr>
        <w:spacing w:before="100" w:beforeAutospacing="1" w:after="100" w:afterAutospacing="1" w:line="360" w:lineRule="auto"/>
        <w:ind w:left="1276" w:right="899"/>
        <w:contextualSpacing w:val="0"/>
        <w:jc w:val="both"/>
        <w:rPr>
          <w:rFonts w:ascii="Palatino Linotype" w:eastAsia="MS Mincho" w:hAnsi="Palatino Linotype" w:cs="Times New Roman"/>
        </w:rPr>
      </w:pPr>
      <w:r w:rsidRPr="00C53DFD">
        <w:rPr>
          <w:rFonts w:ascii="Palatino Linotype" w:eastAsia="MS Mincho" w:hAnsi="Palatino Linotype" w:cs="Times New Roman"/>
        </w:rPr>
        <w:t>Los montos, criterios, convocatorias y listado de personas físicas o morales a quienes se les asignaron despensas en acto público el día 26 de septiembre de 2017 en donde estuvo presente el diputado Raymundo Garza Vilchis.</w:t>
      </w:r>
    </w:p>
    <w:p w:rsidR="003A75CC" w:rsidRDefault="004A21BD" w:rsidP="00103B9C">
      <w:pPr>
        <w:spacing w:before="100" w:beforeAutospacing="1" w:after="100" w:afterAutospacing="1" w:line="360" w:lineRule="auto"/>
        <w:ind w:right="49"/>
        <w:jc w:val="both"/>
        <w:rPr>
          <w:rFonts w:ascii="Palatino Linotype" w:hAnsi="Palatino Linotype" w:cs="Arial"/>
          <w:szCs w:val="22"/>
        </w:rPr>
      </w:pPr>
      <w:r w:rsidRPr="004F468F">
        <w:rPr>
          <w:rFonts w:ascii="Palatino Linotype" w:hAnsi="Palatino Linotype" w:cs="Arial"/>
          <w:szCs w:val="22"/>
        </w:rPr>
        <w:t xml:space="preserve">De las constancias que obran dentro del expediente electrónico del Sistema de Acceso a la Información Mexiquense, en lo subsecuente el </w:t>
      </w:r>
      <w:r w:rsidRPr="004F468F">
        <w:rPr>
          <w:rFonts w:ascii="Palatino Linotype" w:hAnsi="Palatino Linotype" w:cs="Arial"/>
          <w:b/>
          <w:szCs w:val="22"/>
        </w:rPr>
        <w:t>SAIMEX,</w:t>
      </w:r>
      <w:r w:rsidRPr="004F468F">
        <w:rPr>
          <w:rFonts w:ascii="Palatino Linotype" w:hAnsi="Palatino Linotype" w:cs="Arial"/>
          <w:szCs w:val="22"/>
        </w:rPr>
        <w:t xml:space="preserve"> se advierte que </w:t>
      </w:r>
      <w:r w:rsidRPr="004F468F">
        <w:rPr>
          <w:rFonts w:ascii="Palatino Linotype" w:hAnsi="Palatino Linotype" w:cs="Arial"/>
          <w:b/>
          <w:szCs w:val="22"/>
        </w:rPr>
        <w:t>EL SUJETO OBLIGADO</w:t>
      </w:r>
      <w:r w:rsidRPr="004F468F">
        <w:rPr>
          <w:rFonts w:ascii="Palatino Linotype" w:hAnsi="Palatino Linotype" w:cs="Arial"/>
          <w:szCs w:val="22"/>
        </w:rPr>
        <w:t xml:space="preserve"> </w:t>
      </w:r>
      <w:r w:rsidR="003A75CC">
        <w:rPr>
          <w:rFonts w:ascii="Palatino Linotype" w:hAnsi="Palatino Linotype" w:cs="Arial"/>
          <w:szCs w:val="22"/>
        </w:rPr>
        <w:t>mediante su respuesta manifestó lo siguiente:</w:t>
      </w:r>
    </w:p>
    <w:p w:rsidR="003A75CC" w:rsidRPr="00C53DFD" w:rsidRDefault="003A75CC" w:rsidP="00103B9C">
      <w:pPr>
        <w:pStyle w:val="Prrafodelista"/>
        <w:numPr>
          <w:ilvl w:val="0"/>
          <w:numId w:val="4"/>
        </w:numPr>
        <w:spacing w:before="100" w:beforeAutospacing="1" w:after="100" w:afterAutospacing="1" w:line="360" w:lineRule="auto"/>
        <w:ind w:hanging="357"/>
        <w:contextualSpacing w:val="0"/>
        <w:jc w:val="both"/>
        <w:rPr>
          <w:rFonts w:ascii="Palatino Linotype" w:hAnsi="Palatino Linotype"/>
        </w:rPr>
      </w:pPr>
      <w:r w:rsidRPr="00C53DFD">
        <w:rPr>
          <w:rFonts w:ascii="Palatino Linotype" w:hAnsi="Palatino Linotype"/>
        </w:rPr>
        <w:t>Para el numeral uno que no hay un informe como tal pues los policías municipales en turno realizan su rol correspondiente del día y es también apoyar en su momento  el tianguis del trueque.</w:t>
      </w:r>
    </w:p>
    <w:p w:rsidR="003A75CC" w:rsidRPr="00C53DFD" w:rsidRDefault="00325765" w:rsidP="00103B9C">
      <w:pPr>
        <w:pStyle w:val="Prrafodelista"/>
        <w:numPr>
          <w:ilvl w:val="0"/>
          <w:numId w:val="4"/>
        </w:numPr>
        <w:spacing w:before="100" w:beforeAutospacing="1" w:after="100" w:afterAutospacing="1" w:line="360" w:lineRule="auto"/>
        <w:ind w:hanging="357"/>
        <w:contextualSpacing w:val="0"/>
        <w:jc w:val="both"/>
        <w:rPr>
          <w:rFonts w:ascii="Palatino Linotype" w:hAnsi="Palatino Linotype"/>
        </w:rPr>
      </w:pPr>
      <w:r>
        <w:rPr>
          <w:rFonts w:ascii="Palatino Linotype" w:hAnsi="Palatino Linotype"/>
        </w:rPr>
        <w:t>En</w:t>
      </w:r>
      <w:r w:rsidR="003A75CC" w:rsidRPr="00C53DFD">
        <w:rPr>
          <w:rFonts w:ascii="Palatino Linotype" w:hAnsi="Palatino Linotype"/>
        </w:rPr>
        <w:t xml:space="preserve"> el numeral dos el Ayuntamiento solo está en apoyo al trueque, ya que es un grupo indígena constituido por la gente que practica esa actividad y ellos mismos realizan sus solicitudes de cualquier índole, por lo que este sujeto obligado no tiene ni genera esa información.</w:t>
      </w:r>
    </w:p>
    <w:p w:rsidR="003A75CC" w:rsidRPr="00C53DFD" w:rsidRDefault="00325765" w:rsidP="00103B9C">
      <w:pPr>
        <w:pStyle w:val="Prrafodelista"/>
        <w:numPr>
          <w:ilvl w:val="0"/>
          <w:numId w:val="4"/>
        </w:numPr>
        <w:spacing w:before="100" w:beforeAutospacing="1" w:after="100" w:afterAutospacing="1" w:line="360" w:lineRule="auto"/>
        <w:ind w:hanging="357"/>
        <w:contextualSpacing w:val="0"/>
        <w:jc w:val="both"/>
        <w:rPr>
          <w:rFonts w:ascii="Palatino Linotype" w:hAnsi="Palatino Linotype"/>
        </w:rPr>
      </w:pPr>
      <w:r>
        <w:rPr>
          <w:rFonts w:ascii="Palatino Linotype" w:hAnsi="Palatino Linotype"/>
        </w:rPr>
        <w:t xml:space="preserve">En el </w:t>
      </w:r>
      <w:r w:rsidR="003A75CC" w:rsidRPr="00C53DFD">
        <w:rPr>
          <w:rFonts w:ascii="Palatino Linotype" w:hAnsi="Palatino Linotype"/>
        </w:rPr>
        <w:t>del numeral tres el Ayuntamiento ha apoyado en la credencialización de los mismos en coordinación y aceptación del mismo grupo de indígenas del tianguis del trueque para su mejor control de ellos, de igual manera se les ha otorgado despensas en apoyo.</w:t>
      </w:r>
    </w:p>
    <w:p w:rsidR="003A75CC" w:rsidRPr="00C53DFD" w:rsidRDefault="003A75CC" w:rsidP="00103B9C">
      <w:pPr>
        <w:pStyle w:val="Prrafodelista"/>
        <w:numPr>
          <w:ilvl w:val="0"/>
          <w:numId w:val="4"/>
        </w:numPr>
        <w:spacing w:before="100" w:beforeAutospacing="1" w:after="100" w:afterAutospacing="1" w:line="360" w:lineRule="auto"/>
        <w:ind w:hanging="357"/>
        <w:contextualSpacing w:val="0"/>
        <w:jc w:val="both"/>
        <w:rPr>
          <w:rFonts w:ascii="Palatino Linotype" w:hAnsi="Palatino Linotype"/>
        </w:rPr>
      </w:pPr>
      <w:r w:rsidRPr="00C53DFD">
        <w:rPr>
          <w:rFonts w:ascii="Palatino Linotype" w:hAnsi="Palatino Linotype"/>
        </w:rPr>
        <w:t xml:space="preserve">En el numeral cuatro es información confidencial, ya que las credenciales contienen totalmente datos personales y está protegida por la Ley de Protección </w:t>
      </w:r>
      <w:r w:rsidRPr="00C53DFD">
        <w:rPr>
          <w:rFonts w:ascii="Palatino Linotype" w:hAnsi="Palatino Linotype"/>
        </w:rPr>
        <w:lastRenderedPageBreak/>
        <w:t>de Datos Personales en Posesión de Sujetos Obligados del Estado de México y Municipios, en consecuencia y por su naturaleza esta información no puede ser entregada.</w:t>
      </w:r>
    </w:p>
    <w:p w:rsidR="003A75CC" w:rsidRPr="00C53DFD" w:rsidRDefault="003A75CC" w:rsidP="00103B9C">
      <w:pPr>
        <w:pStyle w:val="Prrafodelista"/>
        <w:numPr>
          <w:ilvl w:val="0"/>
          <w:numId w:val="4"/>
        </w:numPr>
        <w:spacing w:before="100" w:beforeAutospacing="1" w:after="100" w:afterAutospacing="1" w:line="360" w:lineRule="auto"/>
        <w:ind w:hanging="357"/>
        <w:contextualSpacing w:val="0"/>
        <w:jc w:val="both"/>
        <w:rPr>
          <w:rFonts w:ascii="Palatino Linotype" w:hAnsi="Palatino Linotype"/>
        </w:rPr>
      </w:pPr>
      <w:r w:rsidRPr="00C53DFD">
        <w:rPr>
          <w:rFonts w:ascii="Palatino Linotype" w:hAnsi="Palatino Linotype"/>
        </w:rPr>
        <w:t xml:space="preserve">En el numeral cinco, de la busque de la información solicitada se localizó una copia del acta del Consejo Municipal Indígena Pluricultural de Santiago Tianguistenco Estado de México realizada por ellos mismos ya que es un grupo constituido fuera del Ayuntamiento. </w:t>
      </w:r>
    </w:p>
    <w:p w:rsidR="003A75CC" w:rsidRPr="00C53DFD" w:rsidRDefault="003A75CC" w:rsidP="00103B9C">
      <w:pPr>
        <w:pStyle w:val="Prrafodelista"/>
        <w:numPr>
          <w:ilvl w:val="0"/>
          <w:numId w:val="4"/>
        </w:numPr>
        <w:spacing w:before="100" w:beforeAutospacing="1" w:after="100" w:afterAutospacing="1" w:line="360" w:lineRule="auto"/>
        <w:ind w:hanging="357"/>
        <w:contextualSpacing w:val="0"/>
        <w:jc w:val="both"/>
        <w:rPr>
          <w:rFonts w:ascii="Palatino Linotype" w:hAnsi="Palatino Linotype"/>
        </w:rPr>
      </w:pPr>
      <w:r w:rsidRPr="00C53DFD">
        <w:rPr>
          <w:rFonts w:ascii="Palatino Linotype" w:hAnsi="Palatino Linotype"/>
        </w:rPr>
        <w:t>En lo concerniente al numeral seis y de conformidad a la Ley Orgánica Municipal del Estado de México vigente en su artículo 78 párrafo segundo, se establece que solo habrá algún representante de la población indígena ante el Ayuntamiento, más no constituirá, ni integrara un Consejo Municipal Indígena Pluricultural, por lo que este sujeto obligado no genera tal información.</w:t>
      </w:r>
    </w:p>
    <w:p w:rsidR="003A75CC" w:rsidRPr="00C53DFD" w:rsidRDefault="003A75CC" w:rsidP="00103B9C">
      <w:pPr>
        <w:pStyle w:val="Prrafodelista"/>
        <w:numPr>
          <w:ilvl w:val="0"/>
          <w:numId w:val="4"/>
        </w:numPr>
        <w:spacing w:before="100" w:beforeAutospacing="1" w:after="100" w:afterAutospacing="1" w:line="360" w:lineRule="auto"/>
        <w:ind w:hanging="357"/>
        <w:contextualSpacing w:val="0"/>
        <w:jc w:val="both"/>
        <w:rPr>
          <w:rFonts w:ascii="Palatino Linotype" w:hAnsi="Palatino Linotype"/>
        </w:rPr>
      </w:pPr>
      <w:r w:rsidRPr="00C53DFD">
        <w:rPr>
          <w:rFonts w:ascii="Palatino Linotype" w:hAnsi="Palatino Linotype"/>
        </w:rPr>
        <w:t>Por lo que respecta a los numerales  siete y ocho, en su misma solicitud nos aconseja que es información correspondiente  a la Legislatura del Estado de México, por lo que este sujeto obligado no tiene ni genera información alguna.</w:t>
      </w:r>
    </w:p>
    <w:p w:rsidR="003A75CC" w:rsidRPr="00C53DFD" w:rsidRDefault="003A75CC" w:rsidP="00103B9C">
      <w:pPr>
        <w:pStyle w:val="Prrafodelista"/>
        <w:numPr>
          <w:ilvl w:val="0"/>
          <w:numId w:val="4"/>
        </w:numPr>
        <w:spacing w:before="100" w:beforeAutospacing="1" w:after="100" w:afterAutospacing="1" w:line="360" w:lineRule="auto"/>
        <w:ind w:hanging="357"/>
        <w:contextualSpacing w:val="0"/>
        <w:jc w:val="both"/>
        <w:rPr>
          <w:rFonts w:ascii="Palatino Linotype" w:hAnsi="Palatino Linotype"/>
        </w:rPr>
      </w:pPr>
      <w:r w:rsidRPr="00C53DFD">
        <w:rPr>
          <w:rFonts w:ascii="Palatino Linotype" w:hAnsi="Palatino Linotype"/>
        </w:rPr>
        <w:t xml:space="preserve">Finalmente, señala que remite:  </w:t>
      </w:r>
    </w:p>
    <w:p w:rsidR="003A75CC" w:rsidRPr="00C53DFD" w:rsidRDefault="003A75CC" w:rsidP="00103B9C">
      <w:pPr>
        <w:pStyle w:val="Prrafodelista"/>
        <w:numPr>
          <w:ilvl w:val="0"/>
          <w:numId w:val="5"/>
        </w:numPr>
        <w:spacing w:before="100" w:beforeAutospacing="1" w:after="100" w:afterAutospacing="1" w:line="360" w:lineRule="auto"/>
        <w:ind w:hanging="357"/>
        <w:contextualSpacing w:val="0"/>
        <w:jc w:val="both"/>
        <w:rPr>
          <w:rFonts w:ascii="Palatino Linotype" w:hAnsi="Palatino Linotype"/>
        </w:rPr>
      </w:pPr>
      <w:r w:rsidRPr="00C53DFD">
        <w:rPr>
          <w:rFonts w:ascii="Palatino Linotype" w:hAnsi="Palatino Linotype"/>
        </w:rPr>
        <w:t xml:space="preserve">Una copia de un acta de nombramiento consejo municipal indígena del trueque del municipio de Tianguistenco del 09 de agosto del 2017. </w:t>
      </w:r>
    </w:p>
    <w:p w:rsidR="003A75CC" w:rsidRPr="00C53DFD" w:rsidRDefault="003A75CC" w:rsidP="00103B9C">
      <w:pPr>
        <w:pStyle w:val="Prrafodelista"/>
        <w:numPr>
          <w:ilvl w:val="0"/>
          <w:numId w:val="5"/>
        </w:numPr>
        <w:spacing w:before="100" w:beforeAutospacing="1" w:after="100" w:afterAutospacing="1" w:line="360" w:lineRule="auto"/>
        <w:ind w:hanging="357"/>
        <w:contextualSpacing w:val="0"/>
        <w:jc w:val="both"/>
        <w:rPr>
          <w:rFonts w:ascii="Palatino Linotype" w:hAnsi="Palatino Linotype"/>
        </w:rPr>
      </w:pPr>
      <w:r w:rsidRPr="00C53DFD">
        <w:rPr>
          <w:rFonts w:ascii="Palatino Linotype" w:hAnsi="Palatino Linotype"/>
        </w:rPr>
        <w:t xml:space="preserve">Un oficio del consejo indígena del trueque Tianguistenco dirigido a Alfredo del Mazo Maza, Gobernador del Estado de México del 26 de junio del 2018. </w:t>
      </w:r>
    </w:p>
    <w:p w:rsidR="003A75CC" w:rsidRPr="00C53DFD" w:rsidRDefault="003A75CC" w:rsidP="00103B9C">
      <w:pPr>
        <w:pStyle w:val="Prrafodelista"/>
        <w:numPr>
          <w:ilvl w:val="0"/>
          <w:numId w:val="5"/>
        </w:numPr>
        <w:spacing w:before="100" w:beforeAutospacing="1" w:after="100" w:afterAutospacing="1" w:line="360" w:lineRule="auto"/>
        <w:ind w:hanging="357"/>
        <w:contextualSpacing w:val="0"/>
        <w:jc w:val="both"/>
        <w:rPr>
          <w:rFonts w:ascii="Palatino Linotype" w:hAnsi="Palatino Linotype"/>
        </w:rPr>
      </w:pPr>
      <w:r w:rsidRPr="00C53DFD">
        <w:rPr>
          <w:rFonts w:ascii="Palatino Linotype" w:hAnsi="Palatino Linotype"/>
        </w:rPr>
        <w:lastRenderedPageBreak/>
        <w:t xml:space="preserve">Un oficio dirigido a Antonio Barrera Alcántara, Presidente Constitucional de Tianguistenco por la mesa directiva del trueque, del 11 de septiembre del 2017.  </w:t>
      </w:r>
    </w:p>
    <w:p w:rsidR="003A75CC" w:rsidRDefault="003A75CC" w:rsidP="00103B9C">
      <w:pPr>
        <w:spacing w:before="100" w:beforeAutospacing="1" w:after="100" w:afterAutospacing="1" w:line="360" w:lineRule="auto"/>
        <w:ind w:right="49"/>
        <w:jc w:val="both"/>
        <w:rPr>
          <w:rFonts w:ascii="Palatino Linotype" w:hAnsi="Palatino Linotype" w:cs="Arial"/>
          <w:szCs w:val="22"/>
        </w:rPr>
      </w:pPr>
      <w:r>
        <w:rPr>
          <w:rFonts w:ascii="Palatino Linotype" w:hAnsi="Palatino Linotype" w:cs="Arial"/>
          <w:szCs w:val="22"/>
        </w:rPr>
        <w:t xml:space="preserve">Inconforme con dicha respuesta, </w:t>
      </w:r>
      <w:r>
        <w:rPr>
          <w:rFonts w:ascii="Palatino Linotype" w:hAnsi="Palatino Linotype" w:cs="Arial"/>
          <w:b/>
          <w:szCs w:val="22"/>
        </w:rPr>
        <w:t xml:space="preserve">LA RECURRENTE </w:t>
      </w:r>
      <w:r>
        <w:rPr>
          <w:rFonts w:ascii="Palatino Linotype" w:hAnsi="Palatino Linotype" w:cs="Arial"/>
          <w:szCs w:val="22"/>
        </w:rPr>
        <w:t>interpuso el recurso de revisión de mérito.</w:t>
      </w:r>
    </w:p>
    <w:p w:rsidR="003A75CC" w:rsidRDefault="003A75CC" w:rsidP="00103B9C">
      <w:pPr>
        <w:spacing w:before="100" w:beforeAutospacing="1" w:after="100" w:afterAutospacing="1" w:line="360" w:lineRule="auto"/>
        <w:ind w:right="49"/>
        <w:jc w:val="both"/>
        <w:rPr>
          <w:rFonts w:ascii="Palatino Linotype" w:hAnsi="Palatino Linotype" w:cs="Arial"/>
          <w:szCs w:val="22"/>
        </w:rPr>
      </w:pPr>
      <w:r>
        <w:rPr>
          <w:rFonts w:ascii="Palatino Linotype" w:hAnsi="Palatino Linotype" w:cs="Arial"/>
          <w:szCs w:val="22"/>
        </w:rPr>
        <w:t xml:space="preserve">Bajo ese orden de ideas, </w:t>
      </w:r>
      <w:r>
        <w:rPr>
          <w:rFonts w:ascii="Palatino Linotype" w:hAnsi="Palatino Linotype" w:cs="Arial"/>
          <w:b/>
          <w:szCs w:val="22"/>
        </w:rPr>
        <w:t xml:space="preserve">EL SUJETO OBLIGADO </w:t>
      </w:r>
      <w:r>
        <w:rPr>
          <w:rFonts w:ascii="Palatino Linotype" w:hAnsi="Palatino Linotype" w:cs="Arial"/>
          <w:szCs w:val="22"/>
        </w:rPr>
        <w:t>mediante Informe Justificado refirió que:</w:t>
      </w:r>
    </w:p>
    <w:p w:rsidR="003A75CC" w:rsidRPr="00C53DFD" w:rsidRDefault="003A75CC" w:rsidP="00103B9C">
      <w:pPr>
        <w:pStyle w:val="Prrafodelista"/>
        <w:numPr>
          <w:ilvl w:val="0"/>
          <w:numId w:val="6"/>
        </w:numPr>
        <w:spacing w:before="100" w:beforeAutospacing="1" w:after="100" w:afterAutospacing="1" w:line="360" w:lineRule="auto"/>
        <w:ind w:left="1276" w:right="51" w:hanging="357"/>
        <w:contextualSpacing w:val="0"/>
        <w:jc w:val="both"/>
        <w:rPr>
          <w:rFonts w:ascii="Palatino Linotype" w:eastAsia="MS Mincho" w:hAnsi="Palatino Linotype" w:cs="Times New Roman"/>
        </w:rPr>
      </w:pPr>
      <w:r w:rsidRPr="00C53DFD">
        <w:rPr>
          <w:rFonts w:ascii="Palatino Linotype" w:eastAsia="MS Mincho" w:hAnsi="Palatino Linotype" w:cs="Times New Roman"/>
        </w:rPr>
        <w:t>Para el punto 1, l</w:t>
      </w:r>
      <w:r w:rsidRPr="00C53DFD">
        <w:rPr>
          <w:rFonts w:ascii="Palatino Linotype" w:hAnsi="Palatino Linotype" w:cs="Arial"/>
          <w:lang w:eastAsia="es-MX"/>
        </w:rPr>
        <w:t>os  reportes de los policías se encuentran en la información reservada esto de acuerdo al artículo 140 de Ley de Transparencia y Acceso a la Información Pública del Estado de México y Municipios, ya que en su momento pueden causar daño a terceros.</w:t>
      </w:r>
    </w:p>
    <w:p w:rsidR="003A75CC" w:rsidRPr="00C53DFD" w:rsidRDefault="003A75CC" w:rsidP="00103B9C">
      <w:pPr>
        <w:pStyle w:val="Prrafodelista"/>
        <w:numPr>
          <w:ilvl w:val="0"/>
          <w:numId w:val="6"/>
        </w:numPr>
        <w:spacing w:before="100" w:beforeAutospacing="1" w:after="100" w:afterAutospacing="1" w:line="360" w:lineRule="auto"/>
        <w:ind w:left="1276" w:right="51" w:hanging="357"/>
        <w:contextualSpacing w:val="0"/>
        <w:jc w:val="both"/>
        <w:rPr>
          <w:rFonts w:ascii="Palatino Linotype" w:eastAsia="MS Mincho" w:hAnsi="Palatino Linotype" w:cs="Times New Roman"/>
        </w:rPr>
      </w:pPr>
      <w:r w:rsidRPr="00C53DFD">
        <w:rPr>
          <w:rFonts w:ascii="Palatino Linotype" w:eastAsia="MS Mincho" w:hAnsi="Palatino Linotype" w:cs="Times New Roman"/>
        </w:rPr>
        <w:t xml:space="preserve">Del punto 2, se han </w:t>
      </w:r>
      <w:proofErr w:type="spellStart"/>
      <w:r w:rsidRPr="00C53DFD">
        <w:rPr>
          <w:rFonts w:ascii="Palatino Linotype" w:eastAsia="MS Mincho" w:hAnsi="Palatino Linotype" w:cs="Times New Roman"/>
        </w:rPr>
        <w:t>credencializa</w:t>
      </w:r>
      <w:r>
        <w:rPr>
          <w:rFonts w:ascii="Palatino Linotype" w:eastAsia="MS Mincho" w:hAnsi="Palatino Linotype" w:cs="Times New Roman"/>
        </w:rPr>
        <w:t>n</w:t>
      </w:r>
      <w:r w:rsidRPr="00C53DFD">
        <w:rPr>
          <w:rFonts w:ascii="Palatino Linotype" w:eastAsia="MS Mincho" w:hAnsi="Palatino Linotype" w:cs="Times New Roman"/>
        </w:rPr>
        <w:t>do</w:t>
      </w:r>
      <w:proofErr w:type="spellEnd"/>
      <w:r w:rsidRPr="00C53DFD">
        <w:rPr>
          <w:rFonts w:ascii="Palatino Linotype" w:eastAsia="MS Mincho" w:hAnsi="Palatino Linotype" w:cs="Times New Roman"/>
        </w:rPr>
        <w:t xml:space="preserve"> a los </w:t>
      </w:r>
      <w:proofErr w:type="spellStart"/>
      <w:r w:rsidRPr="00C53DFD">
        <w:rPr>
          <w:rFonts w:ascii="Palatino Linotype" w:eastAsia="MS Mincho" w:hAnsi="Palatino Linotype" w:cs="Times New Roman"/>
        </w:rPr>
        <w:t>truequeros</w:t>
      </w:r>
      <w:proofErr w:type="spellEnd"/>
      <w:r w:rsidRPr="00C53DFD">
        <w:rPr>
          <w:rFonts w:ascii="Palatino Linotype" w:eastAsia="MS Mincho" w:hAnsi="Palatino Linotype" w:cs="Times New Roman"/>
        </w:rPr>
        <w:t xml:space="preserve"> en coordinación y aceptación del mismo grupo de indígenas del tianguis del trueque para su mejor control de ellos, de igual manera se les ha otorgado despensas en apoyo.</w:t>
      </w:r>
    </w:p>
    <w:p w:rsidR="003A75CC" w:rsidRPr="00C53DFD" w:rsidRDefault="003A75CC" w:rsidP="00103B9C">
      <w:pPr>
        <w:pStyle w:val="Prrafodelista"/>
        <w:numPr>
          <w:ilvl w:val="0"/>
          <w:numId w:val="6"/>
        </w:numPr>
        <w:spacing w:before="100" w:beforeAutospacing="1" w:after="100" w:afterAutospacing="1" w:line="360" w:lineRule="auto"/>
        <w:ind w:left="1276" w:right="51" w:hanging="357"/>
        <w:contextualSpacing w:val="0"/>
        <w:jc w:val="both"/>
        <w:rPr>
          <w:rFonts w:ascii="Palatino Linotype" w:eastAsia="MS Mincho" w:hAnsi="Palatino Linotype" w:cs="Times New Roman"/>
        </w:rPr>
      </w:pPr>
      <w:r w:rsidRPr="00C53DFD">
        <w:rPr>
          <w:rFonts w:ascii="Palatino Linotype" w:eastAsia="MS Mincho" w:hAnsi="Palatino Linotype" w:cs="Times New Roman"/>
        </w:rPr>
        <w:t xml:space="preserve">Del punto 3, derivado de su naturaleza de </w:t>
      </w:r>
      <w:r w:rsidRPr="00C53DFD">
        <w:rPr>
          <w:rFonts w:ascii="Palatino Linotype" w:hAnsi="Palatino Linotype" w:cs="Arial"/>
          <w:lang w:eastAsia="es-MX"/>
        </w:rPr>
        <w:t xml:space="preserve">no son de carácter público, ya que contienen datos personales y son protegidos por la Ley de Protección de Datos Personales en Posesión de Sujetos Obligados del Estado de México y Municipios, además de que se expidieron con la finalidad del control del mismo grupo del tianguis del trueque, asimismo aclaró que se </w:t>
      </w:r>
      <w:r w:rsidRPr="00C53DFD">
        <w:rPr>
          <w:rFonts w:ascii="Palatino Linotype" w:hAnsi="Palatino Linotype" w:cs="Arial"/>
          <w:lang w:eastAsia="es-MX"/>
        </w:rPr>
        <w:lastRenderedPageBreak/>
        <w:t>ha realizado en apoyo a los grupo indígenas del municipio ya que se encuentra dentro de las atribuciones y funciones del acalde municipal.</w:t>
      </w:r>
    </w:p>
    <w:p w:rsidR="003A75CC" w:rsidRPr="00C53DFD" w:rsidRDefault="003A75CC" w:rsidP="00103B9C">
      <w:pPr>
        <w:pStyle w:val="Prrafodelista"/>
        <w:numPr>
          <w:ilvl w:val="0"/>
          <w:numId w:val="6"/>
        </w:numPr>
        <w:spacing w:before="100" w:beforeAutospacing="1" w:after="100" w:afterAutospacing="1" w:line="360" w:lineRule="auto"/>
        <w:ind w:left="1276" w:right="51" w:hanging="357"/>
        <w:contextualSpacing w:val="0"/>
        <w:jc w:val="both"/>
        <w:rPr>
          <w:rFonts w:ascii="Palatino Linotype" w:hAnsi="Palatino Linotype" w:cs="Arial"/>
          <w:lang w:eastAsia="es-MX"/>
        </w:rPr>
      </w:pPr>
      <w:r w:rsidRPr="00C53DFD">
        <w:rPr>
          <w:rFonts w:ascii="Palatino Linotype" w:hAnsi="Palatino Linotype" w:cs="Arial"/>
          <w:lang w:eastAsia="es-MX"/>
        </w:rPr>
        <w:t>Para los puntos 4 y 5, sus atribuciones del presidente del ayuntamiento el coadyuvar con otra instancia estatal y federal y respecto a esto  esté sujeto obligado no genera esta información.</w:t>
      </w:r>
    </w:p>
    <w:p w:rsidR="004A21BD" w:rsidRDefault="004A21BD" w:rsidP="00103B9C">
      <w:pPr>
        <w:spacing w:before="100" w:beforeAutospacing="1" w:after="100" w:afterAutospacing="1" w:line="360" w:lineRule="auto"/>
        <w:ind w:right="49"/>
        <w:jc w:val="both"/>
        <w:rPr>
          <w:rFonts w:ascii="Palatino Linotype" w:hAnsi="Palatino Linotype" w:cs="Arial"/>
          <w:szCs w:val="22"/>
        </w:rPr>
      </w:pPr>
      <w:r w:rsidRPr="004F468F">
        <w:rPr>
          <w:rFonts w:ascii="Palatino Linotype" w:hAnsi="Palatino Linotype" w:cs="Arial"/>
          <w:szCs w:val="22"/>
        </w:rPr>
        <w:t xml:space="preserve">Atento a lo anterior, la Ponencia Resolutora determinó </w:t>
      </w:r>
      <w:r w:rsidRPr="004F468F">
        <w:rPr>
          <w:rFonts w:ascii="Palatino Linotype" w:hAnsi="Palatino Linotype" w:cs="Arial"/>
          <w:b/>
          <w:szCs w:val="22"/>
        </w:rPr>
        <w:t xml:space="preserve">REVOCAR </w:t>
      </w:r>
      <w:r w:rsidRPr="004F468F">
        <w:rPr>
          <w:rFonts w:ascii="Palatino Linotype" w:hAnsi="Palatino Linotype" w:cs="Arial"/>
          <w:szCs w:val="22"/>
        </w:rPr>
        <w:t xml:space="preserve">la respuesta emitida por </w:t>
      </w:r>
      <w:r w:rsidRPr="004F468F">
        <w:rPr>
          <w:rFonts w:ascii="Palatino Linotype" w:hAnsi="Palatino Linotype" w:cs="Arial"/>
          <w:b/>
          <w:szCs w:val="22"/>
        </w:rPr>
        <w:t>EL SUJETO OBLIGADO,</w:t>
      </w:r>
      <w:r w:rsidRPr="004F468F">
        <w:rPr>
          <w:rFonts w:ascii="Palatino Linotype" w:hAnsi="Palatino Linotype" w:cs="Arial"/>
          <w:szCs w:val="22"/>
        </w:rPr>
        <w:t xml:space="preserve"> ordenándole entregar, vía el SAIMEX,</w:t>
      </w:r>
      <w:r w:rsidR="003A75CC">
        <w:rPr>
          <w:rFonts w:ascii="Palatino Linotype" w:hAnsi="Palatino Linotype" w:cs="Arial"/>
          <w:szCs w:val="22"/>
        </w:rPr>
        <w:t xml:space="preserve"> en </w:t>
      </w:r>
      <w:r w:rsidR="003A75CC" w:rsidRPr="003A75CC">
        <w:rPr>
          <w:rFonts w:ascii="Palatino Linotype" w:hAnsi="Palatino Linotype" w:cs="Arial"/>
          <w:b/>
          <w:szCs w:val="22"/>
        </w:rPr>
        <w:t>versión pública</w:t>
      </w:r>
      <w:r w:rsidR="003A75CC">
        <w:rPr>
          <w:rFonts w:ascii="Palatino Linotype" w:hAnsi="Palatino Linotype" w:cs="Arial"/>
          <w:szCs w:val="22"/>
        </w:rPr>
        <w:t xml:space="preserve"> de</w:t>
      </w:r>
      <w:r w:rsidRPr="004F468F">
        <w:rPr>
          <w:rFonts w:ascii="Palatino Linotype" w:hAnsi="Palatino Linotype" w:cs="Arial"/>
          <w:szCs w:val="22"/>
        </w:rPr>
        <w:t xml:space="preserve"> lo siguiente:</w:t>
      </w:r>
    </w:p>
    <w:p w:rsidR="003A75CC" w:rsidRPr="00FA0C50" w:rsidRDefault="003A75CC" w:rsidP="00103B9C">
      <w:pPr>
        <w:pStyle w:val="Prrafodelista"/>
        <w:numPr>
          <w:ilvl w:val="0"/>
          <w:numId w:val="7"/>
        </w:numPr>
        <w:spacing w:before="100" w:beforeAutospacing="1" w:after="100" w:afterAutospacing="1"/>
        <w:ind w:left="1134" w:right="899"/>
        <w:contextualSpacing w:val="0"/>
        <w:jc w:val="both"/>
        <w:rPr>
          <w:rFonts w:ascii="Palatino Linotype" w:hAnsi="Palatino Linotype"/>
          <w:b/>
          <w:i/>
          <w:sz w:val="22"/>
          <w:szCs w:val="22"/>
        </w:rPr>
      </w:pPr>
      <w:r w:rsidRPr="00FA0C50">
        <w:rPr>
          <w:rFonts w:ascii="Palatino Linotype" w:eastAsia="Times New Roman" w:hAnsi="Palatino Linotype" w:cs="Times New Roman"/>
          <w:b/>
          <w:i/>
          <w:sz w:val="22"/>
          <w:szCs w:val="22"/>
          <w:lang w:eastAsia="es-MX"/>
        </w:rPr>
        <w:t>El parte de novedades de los operativos realizados en el t</w:t>
      </w:r>
      <w:r w:rsidRPr="00FA0C50">
        <w:rPr>
          <w:rFonts w:ascii="Palatino Linotype" w:eastAsiaTheme="minorHAnsi" w:hAnsi="Palatino Linotype"/>
          <w:b/>
          <w:i/>
          <w:sz w:val="22"/>
          <w:szCs w:val="22"/>
        </w:rPr>
        <w:t>ianguis del trueque del quince (15) de julio al veinticinco (25) de septiembre de dos mil dieciocho.</w:t>
      </w:r>
    </w:p>
    <w:p w:rsidR="003A75CC" w:rsidRPr="003A75CC" w:rsidRDefault="003A75CC" w:rsidP="00103B9C">
      <w:pPr>
        <w:pStyle w:val="Prrafodelista"/>
        <w:numPr>
          <w:ilvl w:val="0"/>
          <w:numId w:val="7"/>
        </w:numPr>
        <w:spacing w:before="100" w:beforeAutospacing="1" w:after="100" w:afterAutospacing="1"/>
        <w:ind w:left="1134" w:right="899"/>
        <w:contextualSpacing w:val="0"/>
        <w:jc w:val="both"/>
        <w:rPr>
          <w:rFonts w:ascii="Palatino Linotype" w:eastAsia="Arial Unicode MS" w:hAnsi="Palatino Linotype" w:cs="Arial"/>
          <w:i/>
          <w:sz w:val="22"/>
          <w:szCs w:val="22"/>
        </w:rPr>
      </w:pPr>
      <w:r w:rsidRPr="003A75CC">
        <w:rPr>
          <w:rFonts w:ascii="Palatino Linotype" w:hAnsi="Palatino Linotype"/>
          <w:i/>
          <w:sz w:val="22"/>
          <w:szCs w:val="22"/>
        </w:rPr>
        <w:t xml:space="preserve">Los documentos donde consten las </w:t>
      </w:r>
      <w:r w:rsidRPr="003A75CC">
        <w:rPr>
          <w:rFonts w:ascii="Palatino Linotype" w:eastAsia="MS Mincho" w:hAnsi="Palatino Linotype" w:cs="Times New Roman"/>
          <w:i/>
          <w:sz w:val="22"/>
          <w:szCs w:val="22"/>
          <w:lang w:val="es-MX"/>
        </w:rPr>
        <w:t>solicitudes de apoyo que ha realizado el Ayuntamiento para que se presentará la policía estatal o municipal en el lugar conocido como Tianguis del Trueque</w:t>
      </w:r>
      <w:r w:rsidRPr="003A75CC">
        <w:rPr>
          <w:rFonts w:ascii="Palatino Linotype" w:eastAsia="Times New Roman" w:hAnsi="Palatino Linotype" w:cs="Times New Roman"/>
          <w:i/>
          <w:sz w:val="22"/>
          <w:szCs w:val="22"/>
          <w:lang w:eastAsia="es-MX"/>
        </w:rPr>
        <w:t xml:space="preserve"> </w:t>
      </w:r>
      <w:r w:rsidRPr="003A75CC">
        <w:rPr>
          <w:rFonts w:ascii="Palatino Linotype" w:eastAsia="MS Mincho" w:hAnsi="Palatino Linotype" w:cs="Times New Roman"/>
          <w:i/>
          <w:sz w:val="22"/>
          <w:szCs w:val="22"/>
          <w:lang w:val="es-MX"/>
        </w:rPr>
        <w:t xml:space="preserve">del </w:t>
      </w:r>
      <w:r w:rsidRPr="003A75CC">
        <w:rPr>
          <w:rFonts w:ascii="Palatino Linotype" w:eastAsiaTheme="minorHAnsi" w:hAnsi="Palatino Linotype"/>
          <w:i/>
          <w:sz w:val="22"/>
          <w:szCs w:val="22"/>
        </w:rPr>
        <w:t>quince (15) de julio al veinticinco (25) de septiembre de dos mil dieciocho.</w:t>
      </w:r>
    </w:p>
    <w:p w:rsidR="003A75CC" w:rsidRPr="003A75CC" w:rsidRDefault="003A75CC" w:rsidP="00103B9C">
      <w:pPr>
        <w:pStyle w:val="Prrafodelista"/>
        <w:numPr>
          <w:ilvl w:val="0"/>
          <w:numId w:val="7"/>
        </w:numPr>
        <w:spacing w:before="100" w:beforeAutospacing="1" w:after="100" w:afterAutospacing="1"/>
        <w:ind w:left="1134" w:right="899"/>
        <w:contextualSpacing w:val="0"/>
        <w:jc w:val="both"/>
        <w:rPr>
          <w:rFonts w:ascii="Palatino Linotype" w:eastAsia="MS Mincho" w:hAnsi="Palatino Linotype" w:cs="Times New Roman"/>
          <w:i/>
          <w:sz w:val="22"/>
          <w:szCs w:val="22"/>
        </w:rPr>
      </w:pPr>
      <w:r w:rsidRPr="003A75CC">
        <w:rPr>
          <w:rFonts w:ascii="Palatino Linotype" w:hAnsi="Palatino Linotype"/>
          <w:i/>
          <w:sz w:val="22"/>
          <w:szCs w:val="22"/>
        </w:rPr>
        <w:t>Los documentos donde consten las acciones realizadas durante la administración 2016-2018 relativas a la regulación de Tianguis del Trueque.</w:t>
      </w:r>
    </w:p>
    <w:p w:rsidR="003A75CC" w:rsidRPr="003A75CC" w:rsidRDefault="003A75CC" w:rsidP="00103B9C">
      <w:pPr>
        <w:pStyle w:val="Prrafodelista"/>
        <w:numPr>
          <w:ilvl w:val="0"/>
          <w:numId w:val="7"/>
        </w:numPr>
        <w:spacing w:before="100" w:beforeAutospacing="1" w:after="100" w:afterAutospacing="1"/>
        <w:ind w:left="1134" w:right="899"/>
        <w:contextualSpacing w:val="0"/>
        <w:jc w:val="both"/>
        <w:rPr>
          <w:rFonts w:ascii="Palatino Linotype" w:eastAsia="MS Mincho" w:hAnsi="Palatino Linotype" w:cs="Times New Roman"/>
          <w:i/>
          <w:sz w:val="22"/>
          <w:szCs w:val="22"/>
        </w:rPr>
      </w:pPr>
      <w:r w:rsidRPr="003A75CC">
        <w:rPr>
          <w:rFonts w:ascii="Palatino Linotype" w:hAnsi="Palatino Linotype"/>
          <w:i/>
          <w:sz w:val="22"/>
          <w:szCs w:val="22"/>
        </w:rPr>
        <w:t xml:space="preserve">El acuse de recibo por la expedición de las credenciales a los comerciantes </w:t>
      </w:r>
      <w:proofErr w:type="spellStart"/>
      <w:r w:rsidRPr="003A75CC">
        <w:rPr>
          <w:rFonts w:ascii="Palatino Linotype" w:hAnsi="Palatino Linotype"/>
          <w:i/>
          <w:sz w:val="22"/>
          <w:szCs w:val="22"/>
        </w:rPr>
        <w:t>truequeros</w:t>
      </w:r>
      <w:proofErr w:type="spellEnd"/>
      <w:r w:rsidRPr="003A75CC">
        <w:rPr>
          <w:rFonts w:ascii="Palatino Linotype" w:hAnsi="Palatino Linotype"/>
          <w:i/>
          <w:sz w:val="22"/>
          <w:szCs w:val="22"/>
        </w:rPr>
        <w:t xml:space="preserve"> durante la administración 2016-2018.</w:t>
      </w:r>
    </w:p>
    <w:p w:rsidR="003A75CC" w:rsidRPr="003A75CC" w:rsidRDefault="003A75CC" w:rsidP="00103B9C">
      <w:pPr>
        <w:pStyle w:val="Prrafodelista"/>
        <w:numPr>
          <w:ilvl w:val="0"/>
          <w:numId w:val="7"/>
        </w:numPr>
        <w:spacing w:before="100" w:beforeAutospacing="1" w:after="100" w:afterAutospacing="1"/>
        <w:ind w:left="1134" w:right="899"/>
        <w:contextualSpacing w:val="0"/>
        <w:jc w:val="both"/>
        <w:rPr>
          <w:rFonts w:ascii="Palatino Linotype" w:eastAsia="Arial Unicode MS" w:hAnsi="Palatino Linotype" w:cs="Arial"/>
          <w:i/>
          <w:sz w:val="22"/>
          <w:szCs w:val="22"/>
        </w:rPr>
      </w:pPr>
      <w:r w:rsidRPr="003A75CC">
        <w:rPr>
          <w:rFonts w:ascii="Palatino Linotype" w:eastAsia="Arial Unicode MS" w:hAnsi="Palatino Linotype" w:cs="Arial"/>
          <w:i/>
          <w:sz w:val="22"/>
          <w:szCs w:val="22"/>
        </w:rPr>
        <w:t xml:space="preserve">Los documentos donde conste la </w:t>
      </w:r>
      <w:r w:rsidRPr="003A75CC">
        <w:rPr>
          <w:rFonts w:ascii="Palatino Linotype" w:eastAsia="MS Mincho" w:hAnsi="Palatino Linotype" w:cs="Times New Roman"/>
          <w:i/>
          <w:sz w:val="22"/>
          <w:szCs w:val="22"/>
        </w:rPr>
        <w:t xml:space="preserve">votación para nombrar al </w:t>
      </w:r>
      <w:r w:rsidRPr="003A75CC">
        <w:rPr>
          <w:rFonts w:ascii="Palatino Linotype" w:hAnsi="Palatino Linotype"/>
          <w:i/>
          <w:sz w:val="22"/>
          <w:szCs w:val="22"/>
        </w:rPr>
        <w:t>Consejo Municipal Indígena del Trueque del Municipio Tianguistenco</w:t>
      </w:r>
      <w:r w:rsidRPr="003A75CC">
        <w:rPr>
          <w:rFonts w:ascii="Palatino Linotype" w:eastAsia="MS Mincho" w:hAnsi="Palatino Linotype" w:cs="Times New Roman"/>
          <w:i/>
          <w:sz w:val="22"/>
          <w:szCs w:val="22"/>
        </w:rPr>
        <w:t>, con la que se cuente antes del veinticinco (</w:t>
      </w:r>
      <w:r w:rsidRPr="003A75CC">
        <w:rPr>
          <w:rFonts w:ascii="Palatino Linotype" w:eastAsia="MS Mincho" w:hAnsi="Palatino Linotype" w:cs="Times New Roman"/>
          <w:i/>
          <w:sz w:val="22"/>
          <w:szCs w:val="22"/>
          <w:lang w:val="es-MX"/>
        </w:rPr>
        <w:t xml:space="preserve">25) de septiembre de </w:t>
      </w:r>
      <w:r w:rsidRPr="003A75CC">
        <w:rPr>
          <w:rFonts w:ascii="Palatino Linotype" w:eastAsiaTheme="minorHAnsi" w:hAnsi="Palatino Linotype"/>
          <w:i/>
          <w:sz w:val="22"/>
          <w:szCs w:val="22"/>
        </w:rPr>
        <w:t>de dos mil dieciocho</w:t>
      </w:r>
      <w:r w:rsidRPr="003A75CC">
        <w:rPr>
          <w:rFonts w:ascii="Palatino Linotype" w:eastAsia="MS Mincho" w:hAnsi="Palatino Linotype" w:cs="Times New Roman"/>
          <w:i/>
          <w:sz w:val="22"/>
          <w:szCs w:val="22"/>
          <w:lang w:val="es-MX"/>
        </w:rPr>
        <w:t xml:space="preserve">. </w:t>
      </w:r>
      <w:r w:rsidRPr="003A75CC">
        <w:rPr>
          <w:rFonts w:ascii="Palatino Linotype" w:eastAsia="Arial Unicode MS" w:hAnsi="Palatino Linotype" w:cs="Arial"/>
          <w:i/>
          <w:sz w:val="22"/>
          <w:szCs w:val="22"/>
        </w:rPr>
        <w:t>De ser el caso de que el acta remitida por el Sujeto Obligado, sea la única y/o última generada, poseída o administrada y por lo tanto no cuente con otro documento, así deberá informarlo al solicitante.</w:t>
      </w:r>
    </w:p>
    <w:p w:rsidR="003A75CC" w:rsidRPr="003A75CC" w:rsidRDefault="003A75CC" w:rsidP="00103B9C">
      <w:pPr>
        <w:pStyle w:val="Prrafodelista"/>
        <w:numPr>
          <w:ilvl w:val="0"/>
          <w:numId w:val="7"/>
        </w:numPr>
        <w:spacing w:before="100" w:beforeAutospacing="1" w:after="100" w:afterAutospacing="1"/>
        <w:ind w:left="1134" w:right="899"/>
        <w:contextualSpacing w:val="0"/>
        <w:jc w:val="both"/>
        <w:rPr>
          <w:rFonts w:ascii="Palatino Linotype" w:hAnsi="Palatino Linotype"/>
          <w:i/>
          <w:sz w:val="22"/>
          <w:szCs w:val="22"/>
        </w:rPr>
      </w:pPr>
      <w:r w:rsidRPr="003A75CC">
        <w:rPr>
          <w:rFonts w:ascii="Palatino Linotype" w:hAnsi="Palatino Linotype"/>
          <w:i/>
          <w:sz w:val="22"/>
          <w:szCs w:val="22"/>
        </w:rPr>
        <w:t xml:space="preserve">Los documentos en donde se advierta la acreditación de los integrantes del Consejo Municipal Indígena del Trueque del Municipio Tianguistenco, con la que se cuente antes del </w:t>
      </w:r>
      <w:r w:rsidRPr="003A75CC">
        <w:rPr>
          <w:rFonts w:ascii="Palatino Linotype" w:eastAsia="MS Mincho" w:hAnsi="Palatino Linotype" w:cs="Times New Roman"/>
          <w:i/>
          <w:sz w:val="22"/>
          <w:szCs w:val="22"/>
        </w:rPr>
        <w:t xml:space="preserve"> veinticinco (</w:t>
      </w:r>
      <w:r w:rsidRPr="003A75CC">
        <w:rPr>
          <w:rFonts w:ascii="Palatino Linotype" w:eastAsia="MS Mincho" w:hAnsi="Palatino Linotype" w:cs="Times New Roman"/>
          <w:i/>
          <w:sz w:val="22"/>
          <w:szCs w:val="22"/>
          <w:lang w:val="es-MX"/>
        </w:rPr>
        <w:t xml:space="preserve">25) de septiembre de </w:t>
      </w:r>
      <w:r w:rsidRPr="003A75CC">
        <w:rPr>
          <w:rFonts w:ascii="Palatino Linotype" w:eastAsiaTheme="minorHAnsi" w:hAnsi="Palatino Linotype"/>
          <w:i/>
          <w:sz w:val="22"/>
          <w:szCs w:val="22"/>
        </w:rPr>
        <w:t>de dos mil dieciocho</w:t>
      </w:r>
      <w:r w:rsidRPr="003A75CC">
        <w:rPr>
          <w:rFonts w:ascii="Palatino Linotype" w:eastAsia="MS Mincho" w:hAnsi="Palatino Linotype" w:cs="Times New Roman"/>
          <w:i/>
          <w:sz w:val="22"/>
          <w:szCs w:val="22"/>
          <w:lang w:val="es-MX"/>
        </w:rPr>
        <w:t>.</w:t>
      </w:r>
      <w:r w:rsidRPr="003A75CC">
        <w:rPr>
          <w:rFonts w:ascii="Palatino Linotype" w:hAnsi="Palatino Linotype"/>
          <w:i/>
          <w:sz w:val="22"/>
          <w:szCs w:val="22"/>
        </w:rPr>
        <w:t xml:space="preserve"> </w:t>
      </w:r>
    </w:p>
    <w:p w:rsidR="003A75CC" w:rsidRPr="003A75CC" w:rsidRDefault="003A75CC" w:rsidP="00103B9C">
      <w:pPr>
        <w:pStyle w:val="Prrafodelista"/>
        <w:numPr>
          <w:ilvl w:val="0"/>
          <w:numId w:val="7"/>
        </w:numPr>
        <w:spacing w:before="100" w:beforeAutospacing="1" w:after="100" w:afterAutospacing="1"/>
        <w:ind w:left="1134" w:right="899"/>
        <w:contextualSpacing w:val="0"/>
        <w:jc w:val="both"/>
        <w:rPr>
          <w:rFonts w:ascii="Palatino Linotype" w:hAnsi="Palatino Linotype"/>
          <w:i/>
          <w:sz w:val="22"/>
          <w:szCs w:val="22"/>
        </w:rPr>
      </w:pPr>
      <w:r w:rsidRPr="003A75CC">
        <w:rPr>
          <w:rFonts w:ascii="Palatino Linotype" w:hAnsi="Palatino Linotype"/>
          <w:i/>
          <w:sz w:val="22"/>
          <w:szCs w:val="22"/>
        </w:rPr>
        <w:t xml:space="preserve">Los documentos donde se adviertan los montos, criterios, convocatorias y listado de las personas físicas o morales a quienes se les asignaron despensas por el </w:t>
      </w:r>
      <w:r w:rsidRPr="003A75CC">
        <w:rPr>
          <w:rFonts w:ascii="Palatino Linotype" w:hAnsi="Palatino Linotype"/>
          <w:i/>
          <w:sz w:val="22"/>
          <w:szCs w:val="22"/>
        </w:rPr>
        <w:lastRenderedPageBreak/>
        <w:t xml:space="preserve">periodo comprendido del veinticinco (25) de septiembre de </w:t>
      </w:r>
      <w:r w:rsidRPr="003A75CC">
        <w:rPr>
          <w:rFonts w:ascii="Palatino Linotype" w:eastAsiaTheme="minorHAnsi" w:hAnsi="Palatino Linotype"/>
          <w:i/>
          <w:sz w:val="22"/>
          <w:szCs w:val="22"/>
        </w:rPr>
        <w:t xml:space="preserve">dos mil diecisiete </w:t>
      </w:r>
      <w:r w:rsidRPr="003A75CC">
        <w:rPr>
          <w:rFonts w:ascii="Palatino Linotype" w:hAnsi="Palatino Linotype"/>
          <w:i/>
          <w:sz w:val="22"/>
          <w:szCs w:val="22"/>
        </w:rPr>
        <w:t xml:space="preserve"> al veinticinco (25)  de septiembre de</w:t>
      </w:r>
      <w:r w:rsidRPr="003A75CC">
        <w:rPr>
          <w:rFonts w:ascii="Palatino Linotype" w:eastAsiaTheme="minorHAnsi" w:hAnsi="Palatino Linotype"/>
          <w:i/>
          <w:sz w:val="22"/>
          <w:szCs w:val="22"/>
        </w:rPr>
        <w:t xml:space="preserve"> dos mil dieciocho</w:t>
      </w:r>
      <w:r w:rsidRPr="003A75CC">
        <w:rPr>
          <w:rFonts w:ascii="Palatino Linotype" w:hAnsi="Palatino Linotype"/>
          <w:i/>
          <w:sz w:val="22"/>
          <w:szCs w:val="22"/>
        </w:rPr>
        <w:t>.</w:t>
      </w:r>
    </w:p>
    <w:p w:rsidR="003A75CC" w:rsidRPr="003A75CC" w:rsidRDefault="003A75CC" w:rsidP="00103B9C">
      <w:pPr>
        <w:spacing w:before="100" w:beforeAutospacing="1" w:after="100" w:afterAutospacing="1"/>
        <w:ind w:left="1134" w:right="899"/>
        <w:jc w:val="both"/>
        <w:rPr>
          <w:rFonts w:ascii="Palatino Linotype" w:eastAsia="MS Mincho" w:hAnsi="Palatino Linotype"/>
          <w:i/>
          <w:sz w:val="22"/>
          <w:szCs w:val="22"/>
        </w:rPr>
      </w:pPr>
      <w:r w:rsidRPr="003A75CC">
        <w:rPr>
          <w:rFonts w:ascii="Palatino Linotype" w:eastAsia="MS Mincho" w:hAnsi="Palatino Linotype"/>
          <w:i/>
          <w:sz w:val="22"/>
          <w:szCs w:val="22"/>
          <w:lang w:val="es-MX"/>
        </w:rPr>
        <w:t xml:space="preserve">Sin embargo, </w:t>
      </w:r>
      <w:r w:rsidRPr="003A75CC">
        <w:rPr>
          <w:rFonts w:ascii="Palatino Linotype" w:eastAsia="MS Mincho" w:hAnsi="Palatino Linotype"/>
          <w:i/>
          <w:sz w:val="22"/>
          <w:szCs w:val="22"/>
        </w:rPr>
        <w:t xml:space="preserve">para el caso de que no se cuente con la información solicitada en el numeral 2, </w:t>
      </w:r>
      <w:r w:rsidRPr="003A75CC">
        <w:rPr>
          <w:rFonts w:ascii="Palatino Linotype" w:eastAsia="MS Mincho" w:hAnsi="Palatino Linotype"/>
          <w:i/>
          <w:sz w:val="22"/>
          <w:szCs w:val="22"/>
          <w:lang w:val="es-MX"/>
        </w:rPr>
        <w:t>deberá manifestar, de manera precisa y clara, las razones que expliquen las causas por las que no se ha realizado el acto de autoridad y, en consecuencia, no se ha documentado decisión alguna.</w:t>
      </w:r>
    </w:p>
    <w:p w:rsidR="003A75CC" w:rsidRPr="003A75CC" w:rsidRDefault="003A75CC" w:rsidP="00103B9C">
      <w:pPr>
        <w:spacing w:before="100" w:beforeAutospacing="1" w:after="100" w:afterAutospacing="1"/>
        <w:ind w:left="1134" w:right="899"/>
        <w:jc w:val="both"/>
        <w:rPr>
          <w:rFonts w:ascii="Palatino Linotype" w:hAnsi="Palatino Linotype"/>
          <w:i/>
          <w:sz w:val="22"/>
          <w:szCs w:val="22"/>
        </w:rPr>
      </w:pPr>
      <w:r w:rsidRPr="003A75CC">
        <w:rPr>
          <w:rFonts w:ascii="Palatino Linotype" w:eastAsia="Calibri" w:hAnsi="Palatino Linotype" w:cs="Arial"/>
          <w:i/>
          <w:sz w:val="22"/>
          <w:szCs w:val="22"/>
        </w:rPr>
        <w:t>Para efectos de lo anterior se deberá emitir el Acuerdo del Comité de Transparencia en términos del Considerando Quinto y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Pr>
          <w:rFonts w:ascii="Palatino Linotype" w:eastAsia="Calibri" w:hAnsi="Palatino Linotype" w:cs="Arial"/>
          <w:i/>
          <w:sz w:val="22"/>
          <w:szCs w:val="22"/>
        </w:rPr>
        <w:t xml:space="preserve"> la solicitante.</w:t>
      </w:r>
    </w:p>
    <w:p w:rsidR="00FA0C50" w:rsidRDefault="004A21BD" w:rsidP="00103B9C">
      <w:pPr>
        <w:spacing w:before="100" w:beforeAutospacing="1" w:after="100" w:afterAutospacing="1" w:line="360" w:lineRule="auto"/>
        <w:ind w:right="49"/>
        <w:jc w:val="both"/>
        <w:rPr>
          <w:rFonts w:ascii="Palatino Linotype" w:hAnsi="Palatino Linotype" w:cs="Arial"/>
          <w:szCs w:val="22"/>
          <w:lang w:val="es-MX"/>
        </w:rPr>
      </w:pPr>
      <w:r w:rsidRPr="004F468F">
        <w:rPr>
          <w:rFonts w:ascii="Palatino Linotype" w:hAnsi="Palatino Linotype" w:cs="Arial"/>
          <w:szCs w:val="22"/>
          <w:lang w:val="es-MX"/>
        </w:rPr>
        <w:t xml:space="preserve">En ese sentido, la que suscribe reitera, que si bien coincide en términos generales con el estudio de la resolución en comento, difiero respecto a </w:t>
      </w:r>
      <w:r w:rsidR="00103B9C">
        <w:rPr>
          <w:rFonts w:ascii="Palatino Linotype" w:hAnsi="Palatino Linotype" w:cs="Arial"/>
          <w:szCs w:val="22"/>
          <w:lang w:val="es-MX"/>
        </w:rPr>
        <w:t xml:space="preserve">que se ordene la </w:t>
      </w:r>
      <w:r w:rsidRPr="004F468F">
        <w:rPr>
          <w:rFonts w:ascii="Palatino Linotype" w:hAnsi="Palatino Linotype" w:cs="Arial"/>
          <w:szCs w:val="22"/>
          <w:lang w:val="es-MX"/>
        </w:rPr>
        <w:t xml:space="preserve">información </w:t>
      </w:r>
      <w:r w:rsidR="00103B9C">
        <w:rPr>
          <w:rFonts w:ascii="Palatino Linotype" w:hAnsi="Palatino Linotype" w:cs="Arial"/>
          <w:szCs w:val="22"/>
          <w:lang w:val="es-MX"/>
        </w:rPr>
        <w:t xml:space="preserve">inmersa </w:t>
      </w:r>
      <w:r w:rsidRPr="004F468F">
        <w:rPr>
          <w:rFonts w:ascii="Palatino Linotype" w:hAnsi="Palatino Linotype" w:cs="Arial"/>
          <w:szCs w:val="22"/>
          <w:lang w:val="es-MX"/>
        </w:rPr>
        <w:t>en el</w:t>
      </w:r>
      <w:r w:rsidR="00FA0C50">
        <w:rPr>
          <w:rFonts w:ascii="Palatino Linotype" w:hAnsi="Palatino Linotype" w:cs="Arial"/>
          <w:szCs w:val="22"/>
          <w:lang w:val="es-MX"/>
        </w:rPr>
        <w:t xml:space="preserve"> numeral 1 </w:t>
      </w:r>
      <w:r w:rsidRPr="004F468F">
        <w:rPr>
          <w:rFonts w:ascii="Palatino Linotype" w:hAnsi="Palatino Linotype" w:cs="Arial"/>
          <w:szCs w:val="22"/>
          <w:lang w:val="es-MX"/>
        </w:rPr>
        <w:t>del resolutivo SEGUNDO</w:t>
      </w:r>
      <w:r w:rsidR="00103B9C">
        <w:rPr>
          <w:rFonts w:ascii="Palatino Linotype" w:hAnsi="Palatino Linotype" w:cs="Arial"/>
          <w:szCs w:val="22"/>
          <w:lang w:val="es-MX"/>
        </w:rPr>
        <w:t>,</w:t>
      </w:r>
      <w:r w:rsidRPr="004F468F">
        <w:rPr>
          <w:rFonts w:ascii="Palatino Linotype" w:hAnsi="Palatino Linotype" w:cs="Arial"/>
          <w:szCs w:val="22"/>
          <w:lang w:val="es-MX"/>
        </w:rPr>
        <w:t xml:space="preserve"> concerniente </w:t>
      </w:r>
      <w:r>
        <w:rPr>
          <w:rFonts w:ascii="Palatino Linotype" w:hAnsi="Palatino Linotype" w:cs="Arial"/>
          <w:szCs w:val="22"/>
          <w:lang w:val="es-MX"/>
        </w:rPr>
        <w:t>a</w:t>
      </w:r>
      <w:r w:rsidR="00FA0C50">
        <w:rPr>
          <w:rFonts w:ascii="Palatino Linotype" w:hAnsi="Palatino Linotype" w:cs="Arial"/>
          <w:szCs w:val="22"/>
          <w:lang w:val="es-MX"/>
        </w:rPr>
        <w:t>l</w:t>
      </w:r>
      <w:r>
        <w:rPr>
          <w:rFonts w:ascii="Palatino Linotype" w:hAnsi="Palatino Linotype" w:cs="Arial"/>
          <w:szCs w:val="22"/>
          <w:lang w:val="es-MX"/>
        </w:rPr>
        <w:t xml:space="preserve"> </w:t>
      </w:r>
      <w:r w:rsidRPr="00CB295D">
        <w:rPr>
          <w:rFonts w:ascii="Palatino Linotype" w:hAnsi="Palatino Linotype" w:cs="Arial"/>
          <w:szCs w:val="22"/>
          <w:lang w:val="es-MX"/>
        </w:rPr>
        <w:t>parte de novedades</w:t>
      </w:r>
      <w:r w:rsidR="00FA0C50">
        <w:rPr>
          <w:rFonts w:ascii="Palatino Linotype" w:hAnsi="Palatino Linotype" w:cs="Arial"/>
          <w:szCs w:val="22"/>
          <w:lang w:val="es-MX"/>
        </w:rPr>
        <w:t>.</w:t>
      </w:r>
    </w:p>
    <w:p w:rsidR="004A21BD" w:rsidRDefault="004A21BD" w:rsidP="00103B9C">
      <w:pPr>
        <w:spacing w:before="100" w:beforeAutospacing="1" w:after="100" w:afterAutospacing="1" w:line="360" w:lineRule="auto"/>
        <w:ind w:right="49"/>
        <w:jc w:val="both"/>
        <w:rPr>
          <w:rFonts w:ascii="Palatino Linotype" w:eastAsia="Calibri" w:hAnsi="Palatino Linotype" w:cs="Arial"/>
          <w:szCs w:val="22"/>
        </w:rPr>
      </w:pPr>
      <w:r w:rsidRPr="004F468F">
        <w:rPr>
          <w:rFonts w:ascii="Palatino Linotype" w:eastAsia="Calibri" w:hAnsi="Palatino Linotype" w:cs="Arial"/>
          <w:szCs w:val="22"/>
        </w:rPr>
        <w:t>Lo anterior</w:t>
      </w:r>
      <w:r>
        <w:rPr>
          <w:rFonts w:ascii="Palatino Linotype" w:eastAsia="Calibri" w:hAnsi="Palatino Linotype" w:cs="Arial"/>
          <w:szCs w:val="22"/>
        </w:rPr>
        <w:t>,</w:t>
      </w:r>
      <w:r w:rsidRPr="004F468F">
        <w:rPr>
          <w:rFonts w:ascii="Palatino Linotype" w:eastAsia="Calibri" w:hAnsi="Palatino Linotype" w:cs="Arial"/>
          <w:szCs w:val="22"/>
        </w:rPr>
        <w:t xml:space="preserve"> obedece a que los documentos de los que se ordena su entrega, </w:t>
      </w:r>
      <w:r>
        <w:rPr>
          <w:rFonts w:ascii="Palatino Linotype" w:eastAsia="Calibri" w:hAnsi="Palatino Linotype" w:cs="Arial"/>
          <w:szCs w:val="22"/>
        </w:rPr>
        <w:t>son susceptible</w:t>
      </w:r>
      <w:r w:rsidR="00FA0C50">
        <w:rPr>
          <w:rFonts w:ascii="Palatino Linotype" w:eastAsia="Calibri" w:hAnsi="Palatino Linotype" w:cs="Arial"/>
          <w:szCs w:val="22"/>
        </w:rPr>
        <w:t>s</w:t>
      </w:r>
      <w:r>
        <w:rPr>
          <w:rFonts w:ascii="Palatino Linotype" w:eastAsia="Calibri" w:hAnsi="Palatino Linotype" w:cs="Arial"/>
          <w:szCs w:val="22"/>
        </w:rPr>
        <w:t xml:space="preserve"> de ser clasificados como información reservada por actualizarse los supuestos normativos contemplados en las fracciones I y VI del artículo 140 de la Ley de Transparencia y Acceso a la Información Pública del Estado de México y Municipios, que dictan:</w:t>
      </w:r>
    </w:p>
    <w:p w:rsidR="004A21BD" w:rsidRDefault="004A21BD" w:rsidP="00103B9C">
      <w:pPr>
        <w:ind w:left="709" w:right="760"/>
        <w:jc w:val="both"/>
        <w:rPr>
          <w:rFonts w:ascii="Palatino Linotype" w:eastAsia="Calibri" w:hAnsi="Palatino Linotype" w:cs="Arial"/>
          <w:i/>
          <w:sz w:val="22"/>
          <w:szCs w:val="22"/>
        </w:rPr>
      </w:pPr>
      <w:r>
        <w:rPr>
          <w:rFonts w:ascii="Palatino Linotype" w:eastAsia="Calibri" w:hAnsi="Palatino Linotype" w:cs="Arial"/>
          <w:i/>
          <w:sz w:val="22"/>
          <w:szCs w:val="22"/>
        </w:rPr>
        <w:t>“</w:t>
      </w:r>
      <w:r w:rsidRPr="007E2DDD">
        <w:rPr>
          <w:rFonts w:ascii="Palatino Linotype" w:eastAsia="Calibri" w:hAnsi="Palatino Linotype" w:cs="Arial"/>
          <w:b/>
          <w:i/>
          <w:sz w:val="22"/>
          <w:szCs w:val="22"/>
        </w:rPr>
        <w:t>Artículo 140</w:t>
      </w:r>
      <w:r w:rsidRPr="007E2DDD">
        <w:rPr>
          <w:rFonts w:ascii="Palatino Linotype" w:eastAsia="Calibri" w:hAnsi="Palatino Linotype" w:cs="Arial"/>
          <w:i/>
          <w:sz w:val="22"/>
          <w:szCs w:val="22"/>
        </w:rPr>
        <w:t>. El acceso a la información pública será restringido excepcionalmente, cuando por razones de interés público,</w:t>
      </w:r>
      <w:r>
        <w:rPr>
          <w:rFonts w:ascii="Palatino Linotype" w:eastAsia="Calibri" w:hAnsi="Palatino Linotype" w:cs="Arial"/>
          <w:i/>
          <w:sz w:val="22"/>
          <w:szCs w:val="22"/>
        </w:rPr>
        <w:t xml:space="preserve"> </w:t>
      </w:r>
      <w:r w:rsidRPr="007E2DDD">
        <w:rPr>
          <w:rFonts w:ascii="Palatino Linotype" w:eastAsia="Calibri" w:hAnsi="Palatino Linotype" w:cs="Arial"/>
          <w:i/>
          <w:sz w:val="22"/>
          <w:szCs w:val="22"/>
        </w:rPr>
        <w:t>ésta sea clasificada como reservada, conforme a los criterios siguientes:</w:t>
      </w:r>
    </w:p>
    <w:p w:rsidR="004A21BD" w:rsidRDefault="004A21BD" w:rsidP="00103B9C">
      <w:pPr>
        <w:ind w:left="709" w:right="760"/>
        <w:jc w:val="both"/>
        <w:rPr>
          <w:rFonts w:ascii="Palatino Linotype" w:eastAsia="Calibri" w:hAnsi="Palatino Linotype" w:cs="Arial"/>
          <w:i/>
          <w:sz w:val="22"/>
          <w:szCs w:val="22"/>
        </w:rPr>
      </w:pPr>
      <w:r w:rsidRPr="007E2DDD">
        <w:rPr>
          <w:rFonts w:ascii="Palatino Linotype" w:eastAsia="Calibri" w:hAnsi="Palatino Linotype" w:cs="Arial"/>
          <w:b/>
          <w:i/>
          <w:sz w:val="22"/>
          <w:szCs w:val="22"/>
        </w:rPr>
        <w:t>I</w:t>
      </w:r>
      <w:r w:rsidRPr="001B35E7">
        <w:rPr>
          <w:rFonts w:ascii="Palatino Linotype" w:eastAsia="Calibri" w:hAnsi="Palatino Linotype" w:cs="Arial"/>
          <w:i/>
          <w:sz w:val="22"/>
          <w:szCs w:val="22"/>
        </w:rPr>
        <w:t>. Comprometa la seguridad pública y cuente con un propósito genuino y un efecto demostrable;</w:t>
      </w:r>
    </w:p>
    <w:p w:rsidR="004A21BD" w:rsidRDefault="004A21BD" w:rsidP="00103B9C">
      <w:pPr>
        <w:ind w:left="709" w:right="760"/>
        <w:jc w:val="both"/>
        <w:rPr>
          <w:rFonts w:ascii="Palatino Linotype" w:eastAsia="Calibri" w:hAnsi="Palatino Linotype" w:cs="Arial"/>
          <w:i/>
          <w:sz w:val="22"/>
          <w:szCs w:val="22"/>
        </w:rPr>
      </w:pPr>
      <w:r>
        <w:rPr>
          <w:rFonts w:ascii="Palatino Linotype" w:eastAsia="Calibri" w:hAnsi="Palatino Linotype" w:cs="Arial"/>
          <w:i/>
          <w:sz w:val="22"/>
          <w:szCs w:val="22"/>
        </w:rPr>
        <w:lastRenderedPageBreak/>
        <w:t>…</w:t>
      </w:r>
    </w:p>
    <w:p w:rsidR="004A21BD" w:rsidRDefault="004A21BD" w:rsidP="00103B9C">
      <w:pPr>
        <w:ind w:left="709" w:right="760"/>
        <w:jc w:val="both"/>
        <w:rPr>
          <w:rFonts w:ascii="Palatino Linotype" w:eastAsia="Calibri" w:hAnsi="Palatino Linotype" w:cs="Arial"/>
          <w:i/>
          <w:sz w:val="22"/>
          <w:szCs w:val="22"/>
        </w:rPr>
      </w:pPr>
      <w:r w:rsidRPr="00103B9C">
        <w:rPr>
          <w:rFonts w:ascii="Palatino Linotype" w:eastAsia="Calibri" w:hAnsi="Palatino Linotype" w:cs="Arial"/>
          <w:b/>
          <w:i/>
          <w:sz w:val="22"/>
          <w:szCs w:val="22"/>
        </w:rPr>
        <w:t>VI</w:t>
      </w:r>
      <w:r w:rsidRPr="00103B9C">
        <w:rPr>
          <w:rFonts w:ascii="Palatino Linotype" w:eastAsia="Calibri" w:hAnsi="Palatino Linotype" w:cs="Arial"/>
          <w:i/>
          <w:sz w:val="22"/>
          <w:szCs w:val="22"/>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w:t>
      </w:r>
      <w:r w:rsidRPr="001B35E7">
        <w:rPr>
          <w:rFonts w:ascii="Palatino Linotype" w:eastAsia="Calibri" w:hAnsi="Palatino Linotype" w:cs="Arial"/>
          <w:i/>
          <w:sz w:val="22"/>
          <w:szCs w:val="22"/>
        </w:rPr>
        <w:t xml:space="preserve"> de justicia o la seguridad de un denunciante, querellante o testigo,</w:t>
      </w:r>
      <w:r>
        <w:rPr>
          <w:rFonts w:ascii="Palatino Linotype" w:eastAsia="Calibri" w:hAnsi="Palatino Linotype" w:cs="Arial"/>
          <w:i/>
          <w:sz w:val="22"/>
          <w:szCs w:val="22"/>
        </w:rPr>
        <w:t xml:space="preserve"> </w:t>
      </w:r>
      <w:r w:rsidRPr="001B35E7">
        <w:rPr>
          <w:rFonts w:ascii="Palatino Linotype" w:eastAsia="Calibri" w:hAnsi="Palatino Linotype" w:cs="Arial"/>
          <w:i/>
          <w:sz w:val="22"/>
          <w:szCs w:val="22"/>
        </w:rPr>
        <w:t>así como sus familias, en los términos de las disposiciones jurídicas aplicables;</w:t>
      </w:r>
      <w:r>
        <w:rPr>
          <w:rFonts w:ascii="Palatino Linotype" w:eastAsia="Calibri" w:hAnsi="Palatino Linotype" w:cs="Arial"/>
          <w:i/>
          <w:sz w:val="22"/>
          <w:szCs w:val="22"/>
        </w:rPr>
        <w:t>”</w:t>
      </w:r>
    </w:p>
    <w:p w:rsidR="004A21BD" w:rsidRDefault="004A21BD" w:rsidP="00103B9C">
      <w:pPr>
        <w:spacing w:before="100" w:beforeAutospacing="1" w:after="100" w:afterAutospacing="1" w:line="360" w:lineRule="auto"/>
        <w:jc w:val="both"/>
        <w:rPr>
          <w:rFonts w:ascii="Palatino Linotype" w:hAnsi="Palatino Linotype" w:cs="Arial"/>
          <w:color w:val="000000" w:themeColor="text1"/>
          <w:szCs w:val="22"/>
        </w:rPr>
      </w:pPr>
      <w:r>
        <w:rPr>
          <w:rFonts w:ascii="Palatino Linotype" w:hAnsi="Palatino Linotype" w:cs="Arial"/>
          <w:color w:val="000000" w:themeColor="text1"/>
          <w:szCs w:val="22"/>
        </w:rPr>
        <w:t>Lo anterior, obedece a que el documento que se ordena se trata de aquel en el que consta el i</w:t>
      </w:r>
      <w:r w:rsidRPr="00E77610">
        <w:rPr>
          <w:rFonts w:ascii="Palatino Linotype" w:hAnsi="Palatino Linotype" w:cs="Arial"/>
          <w:color w:val="000000" w:themeColor="text1"/>
          <w:szCs w:val="22"/>
        </w:rPr>
        <w:t>nforme que resume un evento (hecho</w:t>
      </w:r>
      <w:r>
        <w:rPr>
          <w:rFonts w:ascii="Palatino Linotype" w:hAnsi="Palatino Linotype" w:cs="Arial"/>
          <w:color w:val="000000" w:themeColor="text1"/>
          <w:szCs w:val="22"/>
        </w:rPr>
        <w:t xml:space="preserve"> </w:t>
      </w:r>
      <w:r w:rsidRPr="00E77610">
        <w:rPr>
          <w:rFonts w:ascii="Palatino Linotype" w:hAnsi="Palatino Linotype" w:cs="Arial"/>
          <w:color w:val="000000" w:themeColor="text1"/>
          <w:szCs w:val="22"/>
        </w:rPr>
        <w:t>presuntamente constitutivo de delito y/o falta</w:t>
      </w:r>
      <w:r>
        <w:rPr>
          <w:rFonts w:ascii="Palatino Linotype" w:hAnsi="Palatino Linotype" w:cs="Arial"/>
          <w:color w:val="000000" w:themeColor="text1"/>
          <w:szCs w:val="22"/>
        </w:rPr>
        <w:t xml:space="preserve"> </w:t>
      </w:r>
      <w:r w:rsidRPr="00E77610">
        <w:rPr>
          <w:rFonts w:ascii="Palatino Linotype" w:hAnsi="Palatino Linotype" w:cs="Arial"/>
          <w:color w:val="000000" w:themeColor="text1"/>
          <w:szCs w:val="22"/>
        </w:rPr>
        <w:t>administrativa) y hallazgos de una actuación</w:t>
      </w:r>
      <w:r>
        <w:rPr>
          <w:rFonts w:ascii="Palatino Linotype" w:hAnsi="Palatino Linotype" w:cs="Arial"/>
          <w:color w:val="000000" w:themeColor="text1"/>
          <w:szCs w:val="22"/>
        </w:rPr>
        <w:t xml:space="preserve"> </w:t>
      </w:r>
      <w:r w:rsidRPr="00E77610">
        <w:rPr>
          <w:rFonts w:ascii="Palatino Linotype" w:hAnsi="Palatino Linotype" w:cs="Arial"/>
          <w:color w:val="000000" w:themeColor="text1"/>
          <w:szCs w:val="22"/>
        </w:rPr>
        <w:t>policial, que contiene la información</w:t>
      </w:r>
      <w:r>
        <w:rPr>
          <w:rFonts w:ascii="Palatino Linotype" w:hAnsi="Palatino Linotype" w:cs="Arial"/>
          <w:color w:val="000000" w:themeColor="text1"/>
          <w:szCs w:val="22"/>
        </w:rPr>
        <w:t xml:space="preserve"> </w:t>
      </w:r>
      <w:r w:rsidRPr="00E77610">
        <w:rPr>
          <w:rFonts w:ascii="Palatino Linotype" w:hAnsi="Palatino Linotype" w:cs="Arial"/>
          <w:color w:val="000000" w:themeColor="text1"/>
          <w:szCs w:val="22"/>
        </w:rPr>
        <w:t>destinada a la consulta y análisis por parte</w:t>
      </w:r>
      <w:r>
        <w:rPr>
          <w:rFonts w:ascii="Palatino Linotype" w:hAnsi="Palatino Linotype" w:cs="Arial"/>
          <w:color w:val="000000" w:themeColor="text1"/>
          <w:szCs w:val="22"/>
        </w:rPr>
        <w:t xml:space="preserve"> </w:t>
      </w:r>
      <w:r w:rsidRPr="00E77610">
        <w:rPr>
          <w:rFonts w:ascii="Palatino Linotype" w:hAnsi="Palatino Linotype" w:cs="Arial"/>
          <w:color w:val="000000" w:themeColor="text1"/>
          <w:szCs w:val="22"/>
        </w:rPr>
        <w:t>de los miembros autorizados del Sistema</w:t>
      </w:r>
      <w:r>
        <w:rPr>
          <w:rFonts w:ascii="Palatino Linotype" w:hAnsi="Palatino Linotype" w:cs="Arial"/>
          <w:color w:val="000000" w:themeColor="text1"/>
          <w:szCs w:val="22"/>
        </w:rPr>
        <w:t xml:space="preserve"> </w:t>
      </w:r>
      <w:r w:rsidRPr="00E77610">
        <w:rPr>
          <w:rFonts w:ascii="Palatino Linotype" w:hAnsi="Palatino Linotype" w:cs="Arial"/>
          <w:color w:val="000000" w:themeColor="text1"/>
          <w:szCs w:val="22"/>
        </w:rPr>
        <w:t>Nacional de Seguridad Pública.</w:t>
      </w:r>
    </w:p>
    <w:p w:rsidR="004A21BD" w:rsidRPr="00340F06" w:rsidRDefault="004A21BD" w:rsidP="00103B9C">
      <w:pPr>
        <w:spacing w:before="100" w:beforeAutospacing="1" w:after="100" w:afterAutospacing="1" w:line="360" w:lineRule="auto"/>
        <w:jc w:val="both"/>
        <w:rPr>
          <w:rFonts w:ascii="Palatino Linotype" w:hAnsi="Palatino Linotype" w:cs="Arial"/>
          <w:color w:val="000000" w:themeColor="text1"/>
          <w:szCs w:val="22"/>
        </w:rPr>
      </w:pPr>
      <w:r>
        <w:rPr>
          <w:rFonts w:ascii="Palatino Linotype" w:hAnsi="Palatino Linotype" w:cs="Arial"/>
          <w:color w:val="000000" w:themeColor="text1"/>
          <w:szCs w:val="22"/>
        </w:rPr>
        <w:t xml:space="preserve">Así, </w:t>
      </w:r>
      <w:r w:rsidRPr="00340F06">
        <w:rPr>
          <w:rFonts w:ascii="Palatino Linotype" w:hAnsi="Palatino Linotype" w:cs="Arial"/>
          <w:color w:val="000000" w:themeColor="text1"/>
          <w:szCs w:val="22"/>
        </w:rPr>
        <w:t>conforme a los diferentes ordenamientos jurídicos que rigen el actuar de los cuerpos de seguridad, el rol de la policía consiste en prevenir y combatir el delito, y garantizar la seguridad pública para que los ciudadanos puedan realizar su vida tranquilamente, puesto que como responsabilidad asumida es la de proteger a los ciudadanos.</w:t>
      </w:r>
    </w:p>
    <w:p w:rsidR="004A21BD" w:rsidRDefault="004A21BD" w:rsidP="00103B9C">
      <w:pPr>
        <w:spacing w:before="100" w:beforeAutospacing="1" w:after="100" w:afterAutospacing="1" w:line="360" w:lineRule="auto"/>
        <w:jc w:val="both"/>
        <w:rPr>
          <w:rFonts w:ascii="Palatino Linotype" w:hAnsi="Palatino Linotype" w:cs="Arial"/>
          <w:color w:val="000000" w:themeColor="text1"/>
          <w:szCs w:val="22"/>
        </w:rPr>
      </w:pPr>
      <w:r w:rsidRPr="00340F06">
        <w:rPr>
          <w:rFonts w:ascii="Palatino Linotype" w:hAnsi="Palatino Linotype" w:cs="Arial"/>
          <w:color w:val="000000" w:themeColor="text1"/>
          <w:szCs w:val="22"/>
        </w:rPr>
        <w:t xml:space="preserve">Para llevar a cabo esta función, los cuerpos policiales realizan actividades tales como la recuperación territorial de los espacios públicos para la comunidad y el restablecimiento de las condiciones mínimas de seguridad, el combate a la estructura criminal con el acotamiento de su logística operativa y la desarticulación de las organizaciones delictivas; esto, basado en esquemas territoriales y selección de ciudades con alta incidencia delictiva en las que se focaliza la concentración estratégica </w:t>
      </w:r>
      <w:r w:rsidRPr="00340F06">
        <w:rPr>
          <w:rFonts w:ascii="Palatino Linotype" w:hAnsi="Palatino Linotype" w:cs="Arial"/>
          <w:color w:val="000000" w:themeColor="text1"/>
          <w:szCs w:val="22"/>
        </w:rPr>
        <w:lastRenderedPageBreak/>
        <w:t xml:space="preserve">de fuerza, para maximizar los resultados; asimismo, realizan el control de las principales vías de comunicación en áreas de alta incidencia delictiva a través de puntos </w:t>
      </w:r>
      <w:r>
        <w:rPr>
          <w:rFonts w:ascii="Palatino Linotype" w:hAnsi="Palatino Linotype" w:cs="Arial"/>
          <w:color w:val="000000" w:themeColor="text1"/>
          <w:szCs w:val="22"/>
        </w:rPr>
        <w:t xml:space="preserve">de </w:t>
      </w:r>
      <w:r w:rsidRPr="00340F06">
        <w:rPr>
          <w:rFonts w:ascii="Palatino Linotype" w:hAnsi="Palatino Linotype" w:cs="Arial"/>
          <w:color w:val="000000" w:themeColor="text1"/>
          <w:szCs w:val="22"/>
        </w:rPr>
        <w:t>revisión que detecten la logística criminal.</w:t>
      </w:r>
    </w:p>
    <w:p w:rsidR="004A21BD" w:rsidRDefault="00103B9C" w:rsidP="00103B9C">
      <w:pPr>
        <w:spacing w:before="100" w:beforeAutospacing="1" w:after="100" w:afterAutospacing="1" w:line="360" w:lineRule="auto"/>
        <w:jc w:val="both"/>
        <w:rPr>
          <w:rFonts w:ascii="Palatino Linotype" w:hAnsi="Palatino Linotype" w:cs="Arial"/>
          <w:color w:val="000000" w:themeColor="text1"/>
          <w:szCs w:val="22"/>
        </w:rPr>
      </w:pPr>
      <w:r>
        <w:rPr>
          <w:rFonts w:ascii="Palatino Linotype" w:hAnsi="Palatino Linotype" w:cs="Arial"/>
          <w:color w:val="000000" w:themeColor="text1"/>
          <w:szCs w:val="22"/>
        </w:rPr>
        <w:t xml:space="preserve">Lo que </w:t>
      </w:r>
      <w:r w:rsidR="004A21BD" w:rsidRPr="00340F06">
        <w:rPr>
          <w:rFonts w:ascii="Palatino Linotype" w:hAnsi="Palatino Linotype" w:cs="Arial"/>
          <w:color w:val="000000" w:themeColor="text1"/>
          <w:szCs w:val="22"/>
        </w:rPr>
        <w:t xml:space="preserve">conlleva a </w:t>
      </w:r>
      <w:r w:rsidR="004A21BD">
        <w:rPr>
          <w:rFonts w:ascii="Palatino Linotype" w:hAnsi="Palatino Linotype" w:cs="Arial"/>
          <w:color w:val="000000" w:themeColor="text1"/>
          <w:szCs w:val="22"/>
        </w:rPr>
        <w:t>comprometer la seguridad pública</w:t>
      </w:r>
      <w:r w:rsidR="004A21BD" w:rsidRPr="00340F06">
        <w:rPr>
          <w:rFonts w:ascii="Palatino Linotype" w:hAnsi="Palatino Linotype" w:cs="Arial"/>
          <w:color w:val="000000" w:themeColor="text1"/>
          <w:szCs w:val="22"/>
        </w:rPr>
        <w:t xml:space="preserve">, en virtud de </w:t>
      </w:r>
      <w:r w:rsidR="004A21BD">
        <w:rPr>
          <w:rFonts w:ascii="Palatino Linotype" w:hAnsi="Palatino Linotype" w:cs="Arial"/>
          <w:color w:val="000000" w:themeColor="text1"/>
          <w:szCs w:val="22"/>
        </w:rPr>
        <w:t>que pudieran revelarse</w:t>
      </w:r>
      <w:r w:rsidR="004A21BD" w:rsidRPr="00340F06">
        <w:rPr>
          <w:rFonts w:ascii="Palatino Linotype" w:hAnsi="Palatino Linotype" w:cs="Arial"/>
          <w:color w:val="000000" w:themeColor="text1"/>
          <w:szCs w:val="22"/>
        </w:rPr>
        <w:t xml:space="preserve"> estrategias encaminadas a la prevención y persecución del delito, al darse a conocer la información referente a la operación y desarrollo de funciones en materia de seguridad pública; y permitir posibles </w:t>
      </w:r>
      <w:r w:rsidR="004A21BD">
        <w:rPr>
          <w:rFonts w:ascii="Palatino Linotype" w:hAnsi="Palatino Linotype" w:cs="Arial"/>
          <w:color w:val="000000" w:themeColor="text1"/>
          <w:szCs w:val="22"/>
        </w:rPr>
        <w:t>vulneraciones</w:t>
      </w:r>
      <w:r w:rsidR="004A21BD" w:rsidRPr="00340F06">
        <w:rPr>
          <w:rFonts w:ascii="Palatino Linotype" w:hAnsi="Palatino Linotype" w:cs="Arial"/>
          <w:color w:val="000000" w:themeColor="text1"/>
          <w:szCs w:val="22"/>
        </w:rPr>
        <w:t xml:space="preserve"> que p</w:t>
      </w:r>
      <w:r w:rsidR="004A21BD">
        <w:rPr>
          <w:rFonts w:ascii="Palatino Linotype" w:hAnsi="Palatino Linotype" w:cs="Arial"/>
          <w:color w:val="000000" w:themeColor="text1"/>
          <w:szCs w:val="22"/>
        </w:rPr>
        <w:t>udiera utilizar la delincuencia, pues al revelarse la narrativa de hechos pudieran darse a conocer los procedimientos llevados a cabo por parte de los cuerpos policiacos, diseñados específicamente para la ejecución de operativos del tipo referido en la solicitud, y ser utilizados por parte de grupos delincuenciales anticipándose a las actuaciones de la policía, poniendo entonces, en riesgo la seguridad pública del Municipio.</w:t>
      </w:r>
    </w:p>
    <w:p w:rsidR="004A21BD" w:rsidRDefault="004A21BD" w:rsidP="00103B9C">
      <w:pPr>
        <w:spacing w:before="100" w:beforeAutospacing="1" w:after="100" w:afterAutospacing="1" w:line="360" w:lineRule="auto"/>
        <w:jc w:val="both"/>
        <w:rPr>
          <w:rFonts w:ascii="Palatino Linotype" w:hAnsi="Palatino Linotype" w:cs="Arial"/>
          <w:color w:val="000000" w:themeColor="text1"/>
          <w:szCs w:val="22"/>
        </w:rPr>
      </w:pPr>
      <w:r>
        <w:rPr>
          <w:rFonts w:ascii="Palatino Linotype" w:hAnsi="Palatino Linotype" w:cs="Arial"/>
          <w:color w:val="000000" w:themeColor="text1"/>
          <w:szCs w:val="22"/>
        </w:rPr>
        <w:t>Así</w:t>
      </w:r>
      <w:r w:rsidRPr="00340F06">
        <w:rPr>
          <w:rFonts w:ascii="Palatino Linotype" w:hAnsi="Palatino Linotype" w:cs="Arial"/>
          <w:color w:val="000000" w:themeColor="text1"/>
          <w:szCs w:val="22"/>
        </w:rPr>
        <w:t xml:space="preserve">, </w:t>
      </w:r>
      <w:r>
        <w:rPr>
          <w:rFonts w:ascii="Palatino Linotype" w:hAnsi="Palatino Linotype" w:cs="Arial"/>
          <w:color w:val="000000" w:themeColor="text1"/>
          <w:szCs w:val="22"/>
        </w:rPr>
        <w:t>al actualizarse</w:t>
      </w:r>
      <w:r w:rsidRPr="00340F06">
        <w:rPr>
          <w:rFonts w:ascii="Palatino Linotype" w:hAnsi="Palatino Linotype" w:cs="Arial"/>
          <w:color w:val="000000" w:themeColor="text1"/>
          <w:szCs w:val="22"/>
        </w:rPr>
        <w:t xml:space="preserve"> una causal de reserva,</w:t>
      </w:r>
      <w:r w:rsidR="00FA0C50">
        <w:rPr>
          <w:rFonts w:ascii="Palatino Linotype" w:hAnsi="Palatino Linotype" w:cs="Arial"/>
          <w:color w:val="000000" w:themeColor="text1"/>
          <w:szCs w:val="22"/>
        </w:rPr>
        <w:t xml:space="preserve"> la Ponencia Resolutora</w:t>
      </w:r>
      <w:r w:rsidRPr="00340F06">
        <w:rPr>
          <w:rFonts w:ascii="Palatino Linotype" w:hAnsi="Palatino Linotype" w:cs="Arial"/>
          <w:color w:val="000000" w:themeColor="text1"/>
          <w:szCs w:val="22"/>
        </w:rPr>
        <w:t xml:space="preserve"> debió haber </w:t>
      </w:r>
      <w:r w:rsidR="00FA0C50">
        <w:rPr>
          <w:rFonts w:ascii="Palatino Linotype" w:hAnsi="Palatino Linotype" w:cs="Arial"/>
          <w:color w:val="000000" w:themeColor="text1"/>
          <w:szCs w:val="22"/>
        </w:rPr>
        <w:t xml:space="preserve">ordenado </w:t>
      </w:r>
      <w:r w:rsidRPr="00340F06">
        <w:rPr>
          <w:rFonts w:ascii="Palatino Linotype" w:hAnsi="Palatino Linotype" w:cs="Arial"/>
          <w:color w:val="000000" w:themeColor="text1"/>
          <w:szCs w:val="22"/>
        </w:rPr>
        <w:t>el Acuerdo del Comité de Transparencia en términos de lo señalad</w:t>
      </w:r>
      <w:r w:rsidR="00103B9C">
        <w:rPr>
          <w:rFonts w:ascii="Palatino Linotype" w:hAnsi="Palatino Linotype" w:cs="Arial"/>
          <w:color w:val="000000" w:themeColor="text1"/>
          <w:szCs w:val="22"/>
        </w:rPr>
        <w:t xml:space="preserve">o en artículos 91 y 140, fracción </w:t>
      </w:r>
      <w:r w:rsidRPr="00340F06">
        <w:rPr>
          <w:rFonts w:ascii="Palatino Linotype" w:hAnsi="Palatino Linotype" w:cs="Arial"/>
          <w:color w:val="000000" w:themeColor="text1"/>
          <w:szCs w:val="22"/>
        </w:rPr>
        <w:t xml:space="preserve">VI de la Ley de Transparencia y Acceso a la Información Pública del Estado de México y Municipios, </w:t>
      </w:r>
      <w:r>
        <w:rPr>
          <w:rFonts w:ascii="Palatino Linotype" w:hAnsi="Palatino Linotype" w:cs="Arial"/>
          <w:color w:val="000000" w:themeColor="text1"/>
          <w:szCs w:val="22"/>
        </w:rPr>
        <w:t>en</w:t>
      </w:r>
      <w:r w:rsidRPr="00340F06">
        <w:rPr>
          <w:rFonts w:ascii="Palatino Linotype" w:hAnsi="Palatino Linotype" w:cs="Arial"/>
          <w:color w:val="000000" w:themeColor="text1"/>
          <w:szCs w:val="22"/>
        </w:rPr>
        <w:t xml:space="preserve"> relación </w:t>
      </w:r>
      <w:r>
        <w:rPr>
          <w:rFonts w:ascii="Palatino Linotype" w:hAnsi="Palatino Linotype" w:cs="Arial"/>
          <w:color w:val="000000" w:themeColor="text1"/>
          <w:szCs w:val="22"/>
        </w:rPr>
        <w:t>con</w:t>
      </w:r>
      <w:r w:rsidRPr="00340F06">
        <w:rPr>
          <w:rFonts w:ascii="Palatino Linotype" w:hAnsi="Palatino Linotype" w:cs="Arial"/>
          <w:color w:val="000000" w:themeColor="text1"/>
          <w:szCs w:val="22"/>
        </w:rPr>
        <w:t xml:space="preserve"> el numeral Vigésimo Noveno de los Lineamientos Generales en Materia de Clasificación y Desclasificación de la Información así como para la Elaboración de Versiones Públicas, en el que sustentara de manera fundada y motivada la reserva de la información que s</w:t>
      </w:r>
      <w:r w:rsidR="00103B9C">
        <w:rPr>
          <w:rFonts w:ascii="Palatino Linotype" w:hAnsi="Palatino Linotype" w:cs="Arial"/>
          <w:color w:val="000000" w:themeColor="text1"/>
          <w:szCs w:val="22"/>
        </w:rPr>
        <w:t xml:space="preserve">e requirió; </w:t>
      </w:r>
      <w:r>
        <w:rPr>
          <w:rFonts w:ascii="Palatino Linotype" w:hAnsi="Palatino Linotype" w:cs="Arial"/>
          <w:color w:val="000000" w:themeColor="text1"/>
          <w:szCs w:val="22"/>
        </w:rPr>
        <w:t>asimismo</w:t>
      </w:r>
      <w:r w:rsidR="00103B9C">
        <w:rPr>
          <w:rFonts w:ascii="Palatino Linotype" w:hAnsi="Palatino Linotype" w:cs="Arial"/>
          <w:color w:val="000000" w:themeColor="text1"/>
          <w:szCs w:val="22"/>
        </w:rPr>
        <w:t>,</w:t>
      </w:r>
      <w:r>
        <w:rPr>
          <w:rFonts w:ascii="Palatino Linotype" w:hAnsi="Palatino Linotype" w:cs="Arial"/>
          <w:color w:val="000000" w:themeColor="text1"/>
          <w:szCs w:val="22"/>
        </w:rPr>
        <w:t xml:space="preserve"> precisando</w:t>
      </w:r>
      <w:r w:rsidRPr="00340F06">
        <w:rPr>
          <w:rFonts w:ascii="Palatino Linotype" w:hAnsi="Palatino Linotype" w:cs="Arial"/>
          <w:color w:val="000000" w:themeColor="text1"/>
          <w:szCs w:val="22"/>
        </w:rPr>
        <w:t xml:space="preserve"> que la divulgación de información lesionaba el interés jurídicamente protegido por la Ley, y que el menoscabo o daño que puede producirse con la publicidad de la misma  es mayor que el interés de conocerla, ello a través de la </w:t>
      </w:r>
      <w:r w:rsidRPr="00340F06">
        <w:rPr>
          <w:rFonts w:ascii="Palatino Linotype" w:hAnsi="Palatino Linotype" w:cs="Arial"/>
          <w:color w:val="000000" w:themeColor="text1"/>
          <w:szCs w:val="22"/>
        </w:rPr>
        <w:lastRenderedPageBreak/>
        <w:t>aplicación de la prueba del daño y de conformidad con lo dispuesto en el numeral 168</w:t>
      </w:r>
      <w:r>
        <w:rPr>
          <w:rFonts w:ascii="Palatino Linotype" w:hAnsi="Palatino Linotype" w:cs="Arial"/>
          <w:color w:val="000000" w:themeColor="text1"/>
          <w:szCs w:val="22"/>
        </w:rPr>
        <w:t>,</w:t>
      </w:r>
      <w:r w:rsidRPr="00340F06">
        <w:rPr>
          <w:rFonts w:ascii="Palatino Linotype" w:hAnsi="Palatino Linotype" w:cs="Arial"/>
          <w:color w:val="000000" w:themeColor="text1"/>
          <w:szCs w:val="22"/>
        </w:rPr>
        <w:t xml:space="preserve"> fracción III de la Ley de Transparencia y Acceso a la Información Pública del Estado de México y Municipios</w:t>
      </w:r>
      <w:r>
        <w:rPr>
          <w:rFonts w:ascii="Palatino Linotype" w:hAnsi="Palatino Linotype" w:cs="Arial"/>
          <w:color w:val="000000" w:themeColor="text1"/>
          <w:szCs w:val="22"/>
        </w:rPr>
        <w:t xml:space="preserve"> y </w:t>
      </w:r>
      <w:r w:rsidR="00FA0C50">
        <w:rPr>
          <w:rFonts w:ascii="Palatino Linotype" w:hAnsi="Palatino Linotype" w:cs="Arial"/>
          <w:color w:val="000000" w:themeColor="text1"/>
          <w:szCs w:val="22"/>
        </w:rPr>
        <w:t xml:space="preserve">ponerlo a disposición de la hoy </w:t>
      </w:r>
      <w:r w:rsidRPr="00340F06">
        <w:rPr>
          <w:rFonts w:ascii="Palatino Linotype" w:hAnsi="Palatino Linotype" w:cs="Arial"/>
          <w:b/>
          <w:color w:val="000000" w:themeColor="text1"/>
          <w:szCs w:val="22"/>
        </w:rPr>
        <w:t>RECURRENTE</w:t>
      </w:r>
      <w:r>
        <w:rPr>
          <w:rFonts w:ascii="Palatino Linotype" w:hAnsi="Palatino Linotype" w:cs="Arial"/>
          <w:color w:val="000000" w:themeColor="text1"/>
          <w:szCs w:val="22"/>
        </w:rPr>
        <w:t>.</w:t>
      </w:r>
    </w:p>
    <w:p w:rsidR="004A21BD" w:rsidRDefault="004A21BD" w:rsidP="00103B9C">
      <w:pPr>
        <w:spacing w:before="100" w:beforeAutospacing="1" w:after="100" w:afterAutospacing="1" w:line="360" w:lineRule="auto"/>
        <w:jc w:val="both"/>
        <w:rPr>
          <w:rFonts w:ascii="Palatino Linotype" w:hAnsi="Palatino Linotype"/>
          <w:szCs w:val="22"/>
        </w:rPr>
      </w:pPr>
      <w:r w:rsidRPr="004F468F">
        <w:rPr>
          <w:rFonts w:ascii="Palatino Linotype" w:hAnsi="Palatino Linotype"/>
          <w:szCs w:val="22"/>
        </w:rPr>
        <w:t xml:space="preserve">Así, si bien se debe transparentar el quehacer público, en este caso, </w:t>
      </w:r>
      <w:r>
        <w:rPr>
          <w:rFonts w:ascii="Palatino Linotype" w:hAnsi="Palatino Linotype"/>
          <w:szCs w:val="22"/>
        </w:rPr>
        <w:t>las actuaciones de los cuerpos policiales del Municipio</w:t>
      </w:r>
      <w:r w:rsidRPr="004F468F">
        <w:rPr>
          <w:rFonts w:ascii="Palatino Linotype" w:hAnsi="Palatino Linotype"/>
          <w:szCs w:val="22"/>
        </w:rPr>
        <w:t xml:space="preserve">, ello no implica </w:t>
      </w:r>
      <w:r>
        <w:rPr>
          <w:rFonts w:ascii="Palatino Linotype" w:hAnsi="Palatino Linotype"/>
          <w:szCs w:val="22"/>
        </w:rPr>
        <w:t>que se deba poner en riesgo la seguridad pública</w:t>
      </w:r>
      <w:r w:rsidRPr="004F468F">
        <w:rPr>
          <w:rFonts w:ascii="Palatino Linotype" w:hAnsi="Palatino Linotype"/>
          <w:szCs w:val="22"/>
        </w:rPr>
        <w:t>, lo cual encuentra sustento en la Jurisprudencia con número de registro 2015828 de la Décima Época, sustentada por la Segunda Sala de la Suprema Corte de Justicia de la Nación, visible en la página 487, libro 49, Tomo I, de diciembre de 2017, publicada en el Semanario Judicial de la Federación, cuyo rubro y texto esgrimen:</w:t>
      </w:r>
    </w:p>
    <w:p w:rsidR="004A21BD" w:rsidRDefault="004A21BD" w:rsidP="00103B9C">
      <w:pPr>
        <w:spacing w:before="100" w:beforeAutospacing="1" w:after="100" w:afterAutospacing="1"/>
        <w:ind w:left="709" w:right="760"/>
        <w:jc w:val="both"/>
        <w:rPr>
          <w:rFonts w:ascii="Palatino Linotype" w:hAnsi="Palatino Linotype"/>
          <w:i/>
          <w:sz w:val="22"/>
          <w:szCs w:val="22"/>
        </w:rPr>
      </w:pPr>
      <w:r w:rsidRPr="007E2DDD">
        <w:rPr>
          <w:rFonts w:ascii="Palatino Linotype" w:hAnsi="Palatino Linotype"/>
          <w:i/>
          <w:sz w:val="22"/>
          <w:szCs w:val="22"/>
        </w:rPr>
        <w:t>“</w:t>
      </w:r>
      <w:r w:rsidRPr="007E2DDD">
        <w:rPr>
          <w:rFonts w:ascii="Palatino Linotype" w:hAnsi="Palatino Linotype"/>
          <w:b/>
          <w:i/>
          <w:sz w:val="22"/>
          <w:szCs w:val="22"/>
        </w:rPr>
        <w:t>RESTRICCIONES CONSTITUCIONALES AL GOCE Y EJERCICIO DE LOS DERECHOS Y LIBERTADES. SU CONTENIDO NO IMPIDE QUE LA SUPREMA CORTE DE JUSTICIA DE LA NACIÓN LAS INTERPRETE DE LA MANERA MÁS FAVORABLE A LAS PERSONAS, EN TÉRMINOS DE LOS PROPIOS POSTULADOS CONSTITUCIONALES</w:t>
      </w:r>
      <w:r w:rsidRPr="007E2DDD">
        <w:rPr>
          <w:rFonts w:ascii="Palatino Linotype" w:hAnsi="Palatino Linotype"/>
          <w:i/>
          <w:sz w:val="22"/>
          <w:szCs w:val="22"/>
        </w:rPr>
        <w:t>. Conforme a lo resuelto por el Pleno de la Suprema Corte de Justicia de la Nación en la contradicción 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el compromiso derivado de lo resuelto en la aludida contradicción de tesis privilegia un ejercicio hermenéutico que lleve al operador jurídico competente a que, sin vaciar de contenido la disposición restrictiva, ésta sea leída de la forma más favorable posible, como producto de una interpretación sistemática de todos sus postulados.</w:t>
      </w:r>
    </w:p>
    <w:p w:rsidR="004A21BD" w:rsidRDefault="004A21BD" w:rsidP="00103B9C">
      <w:pPr>
        <w:ind w:left="709" w:right="760"/>
        <w:jc w:val="both"/>
        <w:rPr>
          <w:rFonts w:ascii="Palatino Linotype" w:hAnsi="Palatino Linotype"/>
          <w:i/>
          <w:sz w:val="22"/>
          <w:szCs w:val="22"/>
        </w:rPr>
      </w:pPr>
      <w:r w:rsidRPr="007E2DDD">
        <w:rPr>
          <w:rFonts w:ascii="Palatino Linotype" w:hAnsi="Palatino Linotype"/>
          <w:i/>
          <w:sz w:val="22"/>
          <w:szCs w:val="22"/>
        </w:rPr>
        <w:lastRenderedPageBreak/>
        <w:t xml:space="preserve">Amparo directo en revisión 583/2015. </w:t>
      </w:r>
      <w:proofErr w:type="spellStart"/>
      <w:r w:rsidRPr="007E2DDD">
        <w:rPr>
          <w:rFonts w:ascii="Palatino Linotype" w:hAnsi="Palatino Linotype"/>
          <w:i/>
          <w:sz w:val="22"/>
          <w:szCs w:val="22"/>
        </w:rPr>
        <w:t>Citlali</w:t>
      </w:r>
      <w:proofErr w:type="spellEnd"/>
      <w:r w:rsidRPr="007E2DDD">
        <w:rPr>
          <w:rFonts w:ascii="Palatino Linotype" w:hAnsi="Palatino Linotype"/>
          <w:i/>
          <w:sz w:val="22"/>
          <w:szCs w:val="22"/>
        </w:rPr>
        <w:t xml:space="preserve"> Griselda Godínez Téllez. 9 de septiembre de 2015. Unanimidad de cuatro votos de los Ministros Eduardo Medina Mora I., José Fernando Franco González Salas, Margarita Beatriz Luna Ramos y Alberto Pérez </w:t>
      </w:r>
      <w:proofErr w:type="spellStart"/>
      <w:r w:rsidRPr="007E2DDD">
        <w:rPr>
          <w:rFonts w:ascii="Palatino Linotype" w:hAnsi="Palatino Linotype"/>
          <w:i/>
          <w:sz w:val="22"/>
          <w:szCs w:val="22"/>
        </w:rPr>
        <w:t>Dayán</w:t>
      </w:r>
      <w:proofErr w:type="spellEnd"/>
      <w:r w:rsidRPr="007E2DDD">
        <w:rPr>
          <w:rFonts w:ascii="Palatino Linotype" w:hAnsi="Palatino Linotype"/>
          <w:i/>
          <w:sz w:val="22"/>
          <w:szCs w:val="22"/>
        </w:rPr>
        <w:t xml:space="preserve">. Ausente: Juan N. Silva Meza. Ponente: Alberto Pérez </w:t>
      </w:r>
      <w:proofErr w:type="spellStart"/>
      <w:r w:rsidRPr="007E2DDD">
        <w:rPr>
          <w:rFonts w:ascii="Palatino Linotype" w:hAnsi="Palatino Linotype"/>
          <w:i/>
          <w:sz w:val="22"/>
          <w:szCs w:val="22"/>
        </w:rPr>
        <w:t>Dayán</w:t>
      </w:r>
      <w:proofErr w:type="spellEnd"/>
      <w:r w:rsidRPr="007E2DDD">
        <w:rPr>
          <w:rFonts w:ascii="Palatino Linotype" w:hAnsi="Palatino Linotype"/>
          <w:i/>
          <w:sz w:val="22"/>
          <w:szCs w:val="22"/>
        </w:rPr>
        <w:t xml:space="preserve">. Secretarios: Jorge </w:t>
      </w:r>
      <w:proofErr w:type="spellStart"/>
      <w:r w:rsidRPr="007E2DDD">
        <w:rPr>
          <w:rFonts w:ascii="Palatino Linotype" w:hAnsi="Palatino Linotype"/>
          <w:i/>
          <w:sz w:val="22"/>
          <w:szCs w:val="22"/>
        </w:rPr>
        <w:t>Jannu</w:t>
      </w:r>
      <w:proofErr w:type="spellEnd"/>
      <w:r w:rsidRPr="007E2DDD">
        <w:rPr>
          <w:rFonts w:ascii="Palatino Linotype" w:hAnsi="Palatino Linotype"/>
          <w:i/>
          <w:sz w:val="22"/>
          <w:szCs w:val="22"/>
        </w:rPr>
        <w:t xml:space="preserve"> Lizárraga Delgado y Jorge Antonio Medina Gaona.</w:t>
      </w:r>
    </w:p>
    <w:p w:rsidR="004A21BD" w:rsidRPr="007E2DDD" w:rsidRDefault="004A21BD" w:rsidP="00103B9C">
      <w:pPr>
        <w:ind w:left="709" w:right="760"/>
        <w:jc w:val="both"/>
        <w:rPr>
          <w:rFonts w:ascii="Palatino Linotype" w:hAnsi="Palatino Linotype"/>
          <w:i/>
          <w:sz w:val="22"/>
          <w:szCs w:val="22"/>
        </w:rPr>
      </w:pPr>
      <w:r w:rsidRPr="007E2DDD">
        <w:rPr>
          <w:rFonts w:ascii="Palatino Linotype" w:hAnsi="Palatino Linotype"/>
          <w:i/>
          <w:sz w:val="22"/>
          <w:szCs w:val="22"/>
        </w:rPr>
        <w:t xml:space="preserve">Amparo directo en revisión 2519/2015. Armando Escamilla Gutiérrez. 25 de noviembre de 2015. Mayoría de cuatro votos de los Ministros Eduardo Medina Mora I., José Fernando Franco González Salas, Margarita Beatriz Luna Ramos y Alberto Pérez </w:t>
      </w:r>
      <w:proofErr w:type="spellStart"/>
      <w:r w:rsidRPr="007E2DDD">
        <w:rPr>
          <w:rFonts w:ascii="Palatino Linotype" w:hAnsi="Palatino Linotype"/>
          <w:i/>
          <w:sz w:val="22"/>
          <w:szCs w:val="22"/>
        </w:rPr>
        <w:t>Dayán</w:t>
      </w:r>
      <w:proofErr w:type="spellEnd"/>
      <w:r w:rsidRPr="007E2DDD">
        <w:rPr>
          <w:rFonts w:ascii="Palatino Linotype" w:hAnsi="Palatino Linotype"/>
          <w:i/>
          <w:sz w:val="22"/>
          <w:szCs w:val="22"/>
        </w:rPr>
        <w:t xml:space="preserve">. Disidente y Ponente: Juan N. Silva Meza. Secretario: Rodrigo de la </w:t>
      </w:r>
      <w:proofErr w:type="spellStart"/>
      <w:r w:rsidRPr="007E2DDD">
        <w:rPr>
          <w:rFonts w:ascii="Palatino Linotype" w:hAnsi="Palatino Linotype"/>
          <w:i/>
          <w:sz w:val="22"/>
          <w:szCs w:val="22"/>
        </w:rPr>
        <w:t>Peza</w:t>
      </w:r>
      <w:proofErr w:type="spellEnd"/>
      <w:r w:rsidRPr="007E2DDD">
        <w:rPr>
          <w:rFonts w:ascii="Palatino Linotype" w:hAnsi="Palatino Linotype"/>
          <w:i/>
          <w:sz w:val="22"/>
          <w:szCs w:val="22"/>
        </w:rPr>
        <w:t xml:space="preserve"> López Figueroa.</w:t>
      </w:r>
    </w:p>
    <w:p w:rsidR="004A21BD" w:rsidRDefault="004A21BD" w:rsidP="00103B9C">
      <w:pPr>
        <w:ind w:left="709" w:right="760"/>
        <w:jc w:val="both"/>
        <w:rPr>
          <w:rFonts w:ascii="Palatino Linotype" w:hAnsi="Palatino Linotype"/>
          <w:i/>
          <w:sz w:val="22"/>
          <w:szCs w:val="22"/>
        </w:rPr>
      </w:pPr>
      <w:r w:rsidRPr="007E2DDD">
        <w:rPr>
          <w:rFonts w:ascii="Palatino Linotype" w:hAnsi="Palatino Linotype"/>
          <w:i/>
          <w:sz w:val="22"/>
          <w:szCs w:val="22"/>
        </w:rPr>
        <w:t xml:space="preserve">Amparo directo en revisión 5239/2015. José María Mercado Ascencio. 3 de febrero de 2016. Mayoría de cuatro votos de los Ministros Eduardo Medina Mora I., José Fernando Franco González Salas, Margarita Beatriz Luna Ramos y Alberto Pérez </w:t>
      </w:r>
      <w:proofErr w:type="spellStart"/>
      <w:r w:rsidRPr="007E2DDD">
        <w:rPr>
          <w:rFonts w:ascii="Palatino Linotype" w:hAnsi="Palatino Linotype"/>
          <w:i/>
          <w:sz w:val="22"/>
          <w:szCs w:val="22"/>
        </w:rPr>
        <w:t>Dayán</w:t>
      </w:r>
      <w:proofErr w:type="spellEnd"/>
      <w:r w:rsidRPr="007E2DDD">
        <w:rPr>
          <w:rFonts w:ascii="Palatino Linotype" w:hAnsi="Palatino Linotype"/>
          <w:i/>
          <w:sz w:val="22"/>
          <w:szCs w:val="22"/>
        </w:rPr>
        <w:t xml:space="preserve">. Disidente: Javier </w:t>
      </w:r>
      <w:proofErr w:type="spellStart"/>
      <w:r w:rsidRPr="007E2DDD">
        <w:rPr>
          <w:rFonts w:ascii="Palatino Linotype" w:hAnsi="Palatino Linotype"/>
          <w:i/>
          <w:sz w:val="22"/>
          <w:szCs w:val="22"/>
        </w:rPr>
        <w:t>Laynez</w:t>
      </w:r>
      <w:proofErr w:type="spellEnd"/>
      <w:r w:rsidRPr="007E2DDD">
        <w:rPr>
          <w:rFonts w:ascii="Palatino Linotype" w:hAnsi="Palatino Linotype"/>
          <w:i/>
          <w:sz w:val="22"/>
          <w:szCs w:val="22"/>
        </w:rPr>
        <w:t xml:space="preserve"> </w:t>
      </w:r>
      <w:proofErr w:type="spellStart"/>
      <w:r w:rsidRPr="007E2DDD">
        <w:rPr>
          <w:rFonts w:ascii="Palatino Linotype" w:hAnsi="Palatino Linotype"/>
          <w:i/>
          <w:sz w:val="22"/>
          <w:szCs w:val="22"/>
        </w:rPr>
        <w:t>Potisek</w:t>
      </w:r>
      <w:proofErr w:type="spellEnd"/>
      <w:r w:rsidRPr="007E2DDD">
        <w:rPr>
          <w:rFonts w:ascii="Palatino Linotype" w:hAnsi="Palatino Linotype"/>
          <w:i/>
          <w:sz w:val="22"/>
          <w:szCs w:val="22"/>
        </w:rPr>
        <w:t xml:space="preserve">. Ponente: Alberto Pérez </w:t>
      </w:r>
      <w:proofErr w:type="spellStart"/>
      <w:r w:rsidRPr="007E2DDD">
        <w:rPr>
          <w:rFonts w:ascii="Palatino Linotype" w:hAnsi="Palatino Linotype"/>
          <w:i/>
          <w:sz w:val="22"/>
          <w:szCs w:val="22"/>
        </w:rPr>
        <w:t>Dayán</w:t>
      </w:r>
      <w:proofErr w:type="spellEnd"/>
      <w:r w:rsidRPr="007E2DDD">
        <w:rPr>
          <w:rFonts w:ascii="Palatino Linotype" w:hAnsi="Palatino Linotype"/>
          <w:i/>
          <w:sz w:val="22"/>
          <w:szCs w:val="22"/>
        </w:rPr>
        <w:t>. Secretario: Jorge Antonio Medina Gaona.</w:t>
      </w:r>
    </w:p>
    <w:p w:rsidR="004A21BD" w:rsidRDefault="004A21BD" w:rsidP="00103B9C">
      <w:pPr>
        <w:ind w:left="709" w:right="760"/>
        <w:jc w:val="both"/>
        <w:rPr>
          <w:rFonts w:ascii="Palatino Linotype" w:hAnsi="Palatino Linotype"/>
          <w:i/>
          <w:sz w:val="22"/>
          <w:szCs w:val="22"/>
        </w:rPr>
      </w:pPr>
      <w:r w:rsidRPr="007E2DDD">
        <w:rPr>
          <w:rFonts w:ascii="Palatino Linotype" w:hAnsi="Palatino Linotype"/>
          <w:i/>
          <w:sz w:val="22"/>
          <w:szCs w:val="22"/>
        </w:rPr>
        <w:t xml:space="preserve">Amparo directo en revisión 5946/2015. Secretario de Gobernación. 3 de febrero de 2016. Mayoría de cuatro votos de los Ministros Eduardo Medina Mora I., José Fernando Franco González Salas, Margarita Beatriz Luna Ramos y Alberto Pérez </w:t>
      </w:r>
      <w:proofErr w:type="spellStart"/>
      <w:r w:rsidRPr="007E2DDD">
        <w:rPr>
          <w:rFonts w:ascii="Palatino Linotype" w:hAnsi="Palatino Linotype"/>
          <w:i/>
          <w:sz w:val="22"/>
          <w:szCs w:val="22"/>
        </w:rPr>
        <w:t>Dayán</w:t>
      </w:r>
      <w:proofErr w:type="spellEnd"/>
      <w:r w:rsidRPr="007E2DDD">
        <w:rPr>
          <w:rFonts w:ascii="Palatino Linotype" w:hAnsi="Palatino Linotype"/>
          <w:i/>
          <w:sz w:val="22"/>
          <w:szCs w:val="22"/>
        </w:rPr>
        <w:t xml:space="preserve">; votó con reserva José Fernando Franco González Salas. Disidente: Javier </w:t>
      </w:r>
      <w:proofErr w:type="spellStart"/>
      <w:r w:rsidRPr="007E2DDD">
        <w:rPr>
          <w:rFonts w:ascii="Palatino Linotype" w:hAnsi="Palatino Linotype"/>
          <w:i/>
          <w:sz w:val="22"/>
          <w:szCs w:val="22"/>
        </w:rPr>
        <w:t>Laynez</w:t>
      </w:r>
      <w:proofErr w:type="spellEnd"/>
      <w:r w:rsidRPr="007E2DDD">
        <w:rPr>
          <w:rFonts w:ascii="Palatino Linotype" w:hAnsi="Palatino Linotype"/>
          <w:i/>
          <w:sz w:val="22"/>
          <w:szCs w:val="22"/>
        </w:rPr>
        <w:t xml:space="preserve"> </w:t>
      </w:r>
      <w:proofErr w:type="spellStart"/>
      <w:r w:rsidRPr="007E2DDD">
        <w:rPr>
          <w:rFonts w:ascii="Palatino Linotype" w:hAnsi="Palatino Linotype"/>
          <w:i/>
          <w:sz w:val="22"/>
          <w:szCs w:val="22"/>
        </w:rPr>
        <w:t>Potisek</w:t>
      </w:r>
      <w:proofErr w:type="spellEnd"/>
      <w:r w:rsidRPr="007E2DDD">
        <w:rPr>
          <w:rFonts w:ascii="Palatino Linotype" w:hAnsi="Palatino Linotype"/>
          <w:i/>
          <w:sz w:val="22"/>
          <w:szCs w:val="22"/>
        </w:rPr>
        <w:t xml:space="preserve">. Ponente: Alberto Pérez </w:t>
      </w:r>
      <w:proofErr w:type="spellStart"/>
      <w:r w:rsidRPr="007E2DDD">
        <w:rPr>
          <w:rFonts w:ascii="Palatino Linotype" w:hAnsi="Palatino Linotype"/>
          <w:i/>
          <w:sz w:val="22"/>
          <w:szCs w:val="22"/>
        </w:rPr>
        <w:t>Dayán</w:t>
      </w:r>
      <w:proofErr w:type="spellEnd"/>
      <w:r w:rsidRPr="007E2DDD">
        <w:rPr>
          <w:rFonts w:ascii="Palatino Linotype" w:hAnsi="Palatino Linotype"/>
          <w:i/>
          <w:sz w:val="22"/>
          <w:szCs w:val="22"/>
        </w:rPr>
        <w:t>. Secretario: Jorge Antonio Medina Gaona.</w:t>
      </w:r>
    </w:p>
    <w:p w:rsidR="004A21BD" w:rsidRPr="007E2DDD" w:rsidRDefault="004A21BD" w:rsidP="00103B9C">
      <w:pPr>
        <w:ind w:left="709" w:right="760"/>
        <w:jc w:val="both"/>
        <w:rPr>
          <w:rFonts w:ascii="Palatino Linotype" w:hAnsi="Palatino Linotype"/>
          <w:i/>
          <w:sz w:val="22"/>
          <w:szCs w:val="22"/>
        </w:rPr>
      </w:pPr>
      <w:r w:rsidRPr="007E2DDD">
        <w:rPr>
          <w:rFonts w:ascii="Palatino Linotype" w:hAnsi="Palatino Linotype"/>
          <w:i/>
          <w:sz w:val="22"/>
          <w:szCs w:val="22"/>
        </w:rPr>
        <w:t xml:space="preserve">Amparo en revisión 706/2017. GDF Suez México Comercializadora, S. de R.L. de C.V. 8 de noviembre de 2017. Unanimidad de cuatro votos de los Ministros Alberto Pérez </w:t>
      </w:r>
      <w:proofErr w:type="spellStart"/>
      <w:r w:rsidRPr="007E2DDD">
        <w:rPr>
          <w:rFonts w:ascii="Palatino Linotype" w:hAnsi="Palatino Linotype"/>
          <w:i/>
          <w:sz w:val="22"/>
          <w:szCs w:val="22"/>
        </w:rPr>
        <w:t>Dayán</w:t>
      </w:r>
      <w:proofErr w:type="spellEnd"/>
      <w:r w:rsidRPr="007E2DDD">
        <w:rPr>
          <w:rFonts w:ascii="Palatino Linotype" w:hAnsi="Palatino Linotype"/>
          <w:i/>
          <w:sz w:val="22"/>
          <w:szCs w:val="22"/>
        </w:rPr>
        <w:t xml:space="preserve">, Javier </w:t>
      </w:r>
      <w:proofErr w:type="spellStart"/>
      <w:r w:rsidRPr="007E2DDD">
        <w:rPr>
          <w:rFonts w:ascii="Palatino Linotype" w:hAnsi="Palatino Linotype"/>
          <w:i/>
          <w:sz w:val="22"/>
          <w:szCs w:val="22"/>
        </w:rPr>
        <w:t>Laynez</w:t>
      </w:r>
      <w:proofErr w:type="spellEnd"/>
      <w:r w:rsidRPr="007E2DDD">
        <w:rPr>
          <w:rFonts w:ascii="Palatino Linotype" w:hAnsi="Palatino Linotype"/>
          <w:i/>
          <w:sz w:val="22"/>
          <w:szCs w:val="22"/>
        </w:rPr>
        <w:t xml:space="preserve"> </w:t>
      </w:r>
      <w:proofErr w:type="spellStart"/>
      <w:r w:rsidRPr="007E2DDD">
        <w:rPr>
          <w:rFonts w:ascii="Palatino Linotype" w:hAnsi="Palatino Linotype"/>
          <w:i/>
          <w:sz w:val="22"/>
          <w:szCs w:val="22"/>
        </w:rPr>
        <w:t>Potisek</w:t>
      </w:r>
      <w:proofErr w:type="spellEnd"/>
      <w:r w:rsidRPr="007E2DDD">
        <w:rPr>
          <w:rFonts w:ascii="Palatino Linotype" w:hAnsi="Palatino Linotype"/>
          <w:i/>
          <w:sz w:val="22"/>
          <w:szCs w:val="22"/>
        </w:rPr>
        <w:t xml:space="preserve">, José Fernando Franco González Salas y Eduardo Medina Mora I.; votó con salvedad José Fernando Franco González Salas. Ausente: Margarita Beatriz Luna Ramos. Ponente: Alberto Pérez </w:t>
      </w:r>
      <w:proofErr w:type="spellStart"/>
      <w:r w:rsidRPr="007E2DDD">
        <w:rPr>
          <w:rFonts w:ascii="Palatino Linotype" w:hAnsi="Palatino Linotype"/>
          <w:i/>
          <w:sz w:val="22"/>
          <w:szCs w:val="22"/>
        </w:rPr>
        <w:t>Dayán</w:t>
      </w:r>
      <w:proofErr w:type="spellEnd"/>
      <w:r w:rsidRPr="007E2DDD">
        <w:rPr>
          <w:rFonts w:ascii="Palatino Linotype" w:hAnsi="Palatino Linotype"/>
          <w:i/>
          <w:sz w:val="22"/>
          <w:szCs w:val="22"/>
        </w:rPr>
        <w:t>. Secretario: Isidro Emmanuel Muñoz Acevedo.”</w:t>
      </w:r>
    </w:p>
    <w:p w:rsidR="004A21BD" w:rsidRDefault="004A21BD" w:rsidP="00103B9C">
      <w:pPr>
        <w:spacing w:before="100" w:beforeAutospacing="1" w:after="100" w:afterAutospacing="1" w:line="360" w:lineRule="auto"/>
        <w:jc w:val="both"/>
        <w:rPr>
          <w:rFonts w:ascii="Palatino Linotype" w:hAnsi="Palatino Linotype"/>
          <w:szCs w:val="22"/>
        </w:rPr>
      </w:pPr>
      <w:r w:rsidRPr="004F468F">
        <w:rPr>
          <w:rFonts w:ascii="Palatino Linotype" w:hAnsi="Palatino Linotype"/>
          <w:szCs w:val="22"/>
        </w:rPr>
        <w:t xml:space="preserve">En ese contexto, la que suscribe emite </w:t>
      </w:r>
      <w:r w:rsidRPr="004F468F">
        <w:rPr>
          <w:rFonts w:ascii="Palatino Linotype" w:hAnsi="Palatino Linotype"/>
          <w:b/>
          <w:szCs w:val="22"/>
        </w:rPr>
        <w:t xml:space="preserve">VOTO PARTICULAR, </w:t>
      </w:r>
      <w:r w:rsidRPr="004F468F">
        <w:rPr>
          <w:rFonts w:ascii="Palatino Linotype" w:hAnsi="Palatino Linotype"/>
          <w:szCs w:val="22"/>
        </w:rPr>
        <w:t xml:space="preserve">pues se reitera que la Ponencia Resolutora debió realizar el análisis de las documentales señaladas en el </w:t>
      </w:r>
      <w:r w:rsidR="00FA0C50">
        <w:rPr>
          <w:rFonts w:ascii="Palatino Linotype" w:hAnsi="Palatino Linotype"/>
          <w:szCs w:val="22"/>
        </w:rPr>
        <w:t xml:space="preserve">numeral 1 </w:t>
      </w:r>
      <w:r w:rsidRPr="004F468F">
        <w:rPr>
          <w:rFonts w:ascii="Palatino Linotype" w:hAnsi="Palatino Linotype"/>
          <w:szCs w:val="22"/>
        </w:rPr>
        <w:t>del resolutivo SEGUNDO, puesto que podría</w:t>
      </w:r>
      <w:r>
        <w:rPr>
          <w:rFonts w:ascii="Palatino Linotype" w:hAnsi="Palatino Linotype"/>
          <w:szCs w:val="22"/>
        </w:rPr>
        <w:t xml:space="preserve"> resultar ser información  susceptible de ser clasificada c</w:t>
      </w:r>
      <w:r w:rsidRPr="004F468F">
        <w:rPr>
          <w:rFonts w:ascii="Palatino Linotype" w:hAnsi="Palatino Linotype"/>
          <w:szCs w:val="22"/>
        </w:rPr>
        <w:t xml:space="preserve">omo información </w:t>
      </w:r>
      <w:r>
        <w:rPr>
          <w:rFonts w:ascii="Palatino Linotype" w:hAnsi="Palatino Linotype"/>
          <w:szCs w:val="22"/>
        </w:rPr>
        <w:t>reservada, en los térm</w:t>
      </w:r>
      <w:r w:rsidR="00103B9C">
        <w:rPr>
          <w:rFonts w:ascii="Palatino Linotype" w:hAnsi="Palatino Linotype"/>
          <w:szCs w:val="22"/>
        </w:rPr>
        <w:t xml:space="preserve">inos anteriormente establecidos al actualizar la hipótesis prevista en la fracción VI del </w:t>
      </w:r>
      <w:r w:rsidR="00103B9C">
        <w:rPr>
          <w:rFonts w:ascii="Palatino Linotype" w:hAnsi="Palatino Linotype"/>
          <w:szCs w:val="22"/>
        </w:rPr>
        <w:lastRenderedPageBreak/>
        <w:t>referido artículo 140 de la Ley de Transparencia y Acceso a la Información Pública del Estado de México y Municipios.</w:t>
      </w:r>
    </w:p>
    <w:tbl>
      <w:tblPr>
        <w:tblW w:w="4393" w:type="dxa"/>
        <w:jc w:val="center"/>
        <w:tblLayout w:type="fixed"/>
        <w:tblLook w:val="04A0" w:firstRow="1" w:lastRow="0" w:firstColumn="1" w:lastColumn="0" w:noHBand="0" w:noVBand="1"/>
      </w:tblPr>
      <w:tblGrid>
        <w:gridCol w:w="4393"/>
      </w:tblGrid>
      <w:tr w:rsidR="004A21BD" w:rsidRPr="004F468F" w:rsidTr="00A95FED">
        <w:trPr>
          <w:jc w:val="center"/>
        </w:trPr>
        <w:tc>
          <w:tcPr>
            <w:tcW w:w="4393" w:type="dxa"/>
          </w:tcPr>
          <w:p w:rsidR="004A21BD" w:rsidRDefault="004A21BD" w:rsidP="00103B9C">
            <w:pPr>
              <w:ind w:right="51"/>
              <w:jc w:val="center"/>
              <w:rPr>
                <w:rFonts w:ascii="Palatino Linotype" w:hAnsi="Palatino Linotype"/>
                <w:b/>
                <w:szCs w:val="22"/>
              </w:rPr>
            </w:pPr>
          </w:p>
          <w:p w:rsidR="004A21BD" w:rsidRDefault="004A21BD" w:rsidP="00103B9C">
            <w:pPr>
              <w:ind w:right="51"/>
              <w:jc w:val="center"/>
              <w:rPr>
                <w:rFonts w:ascii="Palatino Linotype" w:hAnsi="Palatino Linotype"/>
                <w:b/>
                <w:szCs w:val="22"/>
              </w:rPr>
            </w:pPr>
          </w:p>
          <w:p w:rsidR="00103B9C" w:rsidRDefault="00103B9C" w:rsidP="00103B9C">
            <w:pPr>
              <w:ind w:right="51"/>
              <w:jc w:val="center"/>
              <w:rPr>
                <w:rFonts w:ascii="Palatino Linotype" w:hAnsi="Palatino Linotype"/>
                <w:b/>
                <w:szCs w:val="22"/>
              </w:rPr>
            </w:pPr>
          </w:p>
          <w:p w:rsidR="00103B9C" w:rsidRDefault="00103B9C" w:rsidP="00103B9C">
            <w:pPr>
              <w:ind w:right="51"/>
              <w:jc w:val="center"/>
              <w:rPr>
                <w:rFonts w:ascii="Palatino Linotype" w:hAnsi="Palatino Linotype"/>
                <w:b/>
                <w:szCs w:val="22"/>
              </w:rPr>
            </w:pPr>
          </w:p>
          <w:p w:rsidR="00103B9C" w:rsidRDefault="00103B9C" w:rsidP="00103B9C">
            <w:pPr>
              <w:ind w:right="51"/>
              <w:jc w:val="center"/>
              <w:rPr>
                <w:rFonts w:ascii="Palatino Linotype" w:hAnsi="Palatino Linotype"/>
                <w:b/>
                <w:szCs w:val="22"/>
              </w:rPr>
            </w:pPr>
          </w:p>
          <w:p w:rsidR="00103B9C" w:rsidRDefault="00103B9C" w:rsidP="00103B9C">
            <w:pPr>
              <w:ind w:right="51"/>
              <w:jc w:val="center"/>
              <w:rPr>
                <w:rFonts w:ascii="Palatino Linotype" w:hAnsi="Palatino Linotype"/>
                <w:b/>
                <w:szCs w:val="22"/>
              </w:rPr>
            </w:pPr>
          </w:p>
          <w:p w:rsidR="00325765" w:rsidRDefault="00325765" w:rsidP="00103B9C">
            <w:pPr>
              <w:ind w:right="51"/>
              <w:jc w:val="center"/>
              <w:rPr>
                <w:rFonts w:ascii="Palatino Linotype" w:hAnsi="Palatino Linotype"/>
                <w:b/>
                <w:szCs w:val="22"/>
              </w:rPr>
            </w:pPr>
          </w:p>
          <w:p w:rsidR="00325765" w:rsidRDefault="00325765" w:rsidP="00103B9C">
            <w:pPr>
              <w:ind w:right="51"/>
              <w:jc w:val="center"/>
              <w:rPr>
                <w:rFonts w:ascii="Palatino Linotype" w:hAnsi="Palatino Linotype"/>
                <w:b/>
                <w:szCs w:val="22"/>
              </w:rPr>
            </w:pPr>
          </w:p>
          <w:p w:rsidR="00325765" w:rsidRDefault="00325765" w:rsidP="00103B9C">
            <w:pPr>
              <w:ind w:right="51"/>
              <w:jc w:val="center"/>
              <w:rPr>
                <w:rFonts w:ascii="Palatino Linotype" w:hAnsi="Palatino Linotype"/>
                <w:b/>
                <w:szCs w:val="22"/>
              </w:rPr>
            </w:pPr>
          </w:p>
          <w:p w:rsidR="00325765" w:rsidRDefault="00325765" w:rsidP="00103B9C">
            <w:pPr>
              <w:ind w:right="51"/>
              <w:jc w:val="center"/>
              <w:rPr>
                <w:rFonts w:ascii="Palatino Linotype" w:hAnsi="Palatino Linotype"/>
                <w:b/>
                <w:szCs w:val="22"/>
              </w:rPr>
            </w:pPr>
          </w:p>
          <w:p w:rsidR="00325765" w:rsidRDefault="00325765" w:rsidP="00103B9C">
            <w:pPr>
              <w:ind w:right="51"/>
              <w:jc w:val="center"/>
              <w:rPr>
                <w:rFonts w:ascii="Palatino Linotype" w:hAnsi="Palatino Linotype"/>
                <w:b/>
                <w:szCs w:val="22"/>
              </w:rPr>
            </w:pPr>
          </w:p>
          <w:p w:rsidR="00325765" w:rsidRDefault="00325765" w:rsidP="00103B9C">
            <w:pPr>
              <w:ind w:right="51"/>
              <w:jc w:val="center"/>
              <w:rPr>
                <w:rFonts w:ascii="Palatino Linotype" w:hAnsi="Palatino Linotype"/>
                <w:b/>
                <w:szCs w:val="22"/>
              </w:rPr>
            </w:pPr>
          </w:p>
          <w:p w:rsidR="00325765" w:rsidRDefault="00325765" w:rsidP="00103B9C">
            <w:pPr>
              <w:ind w:right="51"/>
              <w:jc w:val="center"/>
              <w:rPr>
                <w:rFonts w:ascii="Palatino Linotype" w:hAnsi="Palatino Linotype"/>
                <w:b/>
                <w:szCs w:val="22"/>
              </w:rPr>
            </w:pPr>
          </w:p>
          <w:p w:rsidR="00325765" w:rsidRDefault="00325765" w:rsidP="00103B9C">
            <w:pPr>
              <w:ind w:right="51"/>
              <w:jc w:val="center"/>
              <w:rPr>
                <w:rFonts w:ascii="Palatino Linotype" w:hAnsi="Palatino Linotype"/>
                <w:b/>
                <w:szCs w:val="22"/>
              </w:rPr>
            </w:pPr>
          </w:p>
          <w:p w:rsidR="00325765" w:rsidRDefault="00325765" w:rsidP="00103B9C">
            <w:pPr>
              <w:ind w:right="51"/>
              <w:jc w:val="center"/>
              <w:rPr>
                <w:rFonts w:ascii="Palatino Linotype" w:hAnsi="Palatino Linotype"/>
                <w:b/>
                <w:szCs w:val="22"/>
              </w:rPr>
            </w:pPr>
          </w:p>
          <w:p w:rsidR="004A21BD" w:rsidRDefault="004A21BD" w:rsidP="00103B9C">
            <w:pPr>
              <w:ind w:right="51"/>
              <w:jc w:val="center"/>
              <w:rPr>
                <w:rFonts w:ascii="Palatino Linotype" w:hAnsi="Palatino Linotype"/>
                <w:b/>
                <w:szCs w:val="22"/>
              </w:rPr>
            </w:pPr>
          </w:p>
          <w:p w:rsidR="004A21BD" w:rsidRPr="004F468F" w:rsidRDefault="004A21BD" w:rsidP="00103B9C">
            <w:pPr>
              <w:ind w:right="51"/>
              <w:jc w:val="center"/>
              <w:rPr>
                <w:rFonts w:ascii="Palatino Linotype" w:hAnsi="Palatino Linotype"/>
                <w:b/>
                <w:szCs w:val="22"/>
              </w:rPr>
            </w:pPr>
            <w:r w:rsidRPr="004F468F">
              <w:rPr>
                <w:rFonts w:ascii="Palatino Linotype" w:hAnsi="Palatino Linotype"/>
                <w:b/>
                <w:szCs w:val="22"/>
              </w:rPr>
              <w:t>EVA ABAID YAPUR</w:t>
            </w:r>
          </w:p>
          <w:p w:rsidR="00FA0C50" w:rsidRPr="004F468F" w:rsidRDefault="004A21BD" w:rsidP="00325765">
            <w:pPr>
              <w:ind w:right="51"/>
              <w:jc w:val="center"/>
              <w:rPr>
                <w:rFonts w:ascii="Palatino Linotype" w:hAnsi="Palatino Linotype"/>
                <w:b/>
                <w:szCs w:val="22"/>
              </w:rPr>
            </w:pPr>
            <w:r>
              <w:rPr>
                <w:rFonts w:ascii="Palatino Linotype" w:hAnsi="Palatino Linotype"/>
                <w:b/>
                <w:szCs w:val="22"/>
              </w:rPr>
              <w:t>COMISIONADA</w:t>
            </w:r>
          </w:p>
        </w:tc>
      </w:tr>
    </w:tbl>
    <w:p w:rsidR="00FA0C50" w:rsidRDefault="00FA0C50" w:rsidP="00103B9C">
      <w:pPr>
        <w:spacing w:before="100" w:beforeAutospacing="1" w:after="100" w:afterAutospacing="1"/>
        <w:ind w:right="51"/>
        <w:jc w:val="both"/>
        <w:rPr>
          <w:rFonts w:ascii="Palatino Linotype" w:eastAsia="Calibri" w:hAnsi="Palatino Linotype" w:cs="Arial"/>
          <w:color w:val="000000" w:themeColor="text1"/>
          <w:sz w:val="18"/>
          <w:szCs w:val="18"/>
        </w:rPr>
      </w:pPr>
    </w:p>
    <w:p w:rsidR="00103B9C" w:rsidRDefault="00103B9C" w:rsidP="00103B9C">
      <w:pPr>
        <w:spacing w:before="100" w:beforeAutospacing="1" w:after="100" w:afterAutospacing="1"/>
        <w:ind w:right="51"/>
        <w:jc w:val="both"/>
        <w:rPr>
          <w:rFonts w:ascii="Palatino Linotype" w:eastAsia="Calibri" w:hAnsi="Palatino Linotype" w:cs="Arial"/>
          <w:color w:val="000000" w:themeColor="text1"/>
          <w:sz w:val="18"/>
          <w:szCs w:val="18"/>
        </w:rPr>
      </w:pPr>
    </w:p>
    <w:p w:rsidR="00103B9C" w:rsidRDefault="00103B9C" w:rsidP="00103B9C">
      <w:pPr>
        <w:spacing w:before="100" w:beforeAutospacing="1" w:after="100" w:afterAutospacing="1"/>
        <w:ind w:right="51"/>
        <w:jc w:val="both"/>
        <w:rPr>
          <w:rFonts w:ascii="Palatino Linotype" w:eastAsia="Calibri" w:hAnsi="Palatino Linotype" w:cs="Arial"/>
          <w:color w:val="000000" w:themeColor="text1"/>
          <w:sz w:val="18"/>
          <w:szCs w:val="18"/>
        </w:rPr>
      </w:pPr>
    </w:p>
    <w:p w:rsidR="00325765" w:rsidRDefault="00325765" w:rsidP="00103B9C">
      <w:pPr>
        <w:spacing w:before="100" w:beforeAutospacing="1" w:after="100" w:afterAutospacing="1"/>
        <w:ind w:right="51"/>
        <w:jc w:val="both"/>
        <w:rPr>
          <w:rFonts w:ascii="Palatino Linotype" w:eastAsia="Calibri" w:hAnsi="Palatino Linotype" w:cs="Arial"/>
          <w:color w:val="000000" w:themeColor="text1"/>
          <w:sz w:val="18"/>
          <w:szCs w:val="18"/>
        </w:rPr>
      </w:pPr>
    </w:p>
    <w:p w:rsidR="00325765" w:rsidRDefault="00325765" w:rsidP="00325765">
      <w:pPr>
        <w:ind w:right="51"/>
        <w:jc w:val="both"/>
        <w:rPr>
          <w:rFonts w:ascii="Palatino Linotype" w:eastAsia="Calibri" w:hAnsi="Palatino Linotype" w:cs="Arial"/>
          <w:color w:val="000000" w:themeColor="text1"/>
          <w:sz w:val="20"/>
          <w:szCs w:val="18"/>
        </w:rPr>
      </w:pPr>
    </w:p>
    <w:p w:rsidR="00325765" w:rsidRDefault="00325765" w:rsidP="00325765">
      <w:pPr>
        <w:ind w:right="51"/>
        <w:jc w:val="both"/>
        <w:rPr>
          <w:rFonts w:ascii="Palatino Linotype" w:eastAsia="Calibri" w:hAnsi="Palatino Linotype" w:cs="Arial"/>
          <w:color w:val="000000" w:themeColor="text1"/>
          <w:sz w:val="20"/>
          <w:szCs w:val="18"/>
        </w:rPr>
      </w:pPr>
    </w:p>
    <w:p w:rsidR="004A21BD" w:rsidRDefault="004A21BD" w:rsidP="00325765">
      <w:pPr>
        <w:ind w:right="51"/>
        <w:jc w:val="both"/>
        <w:rPr>
          <w:rFonts w:ascii="Palatino Linotype" w:eastAsia="Calibri" w:hAnsi="Palatino Linotype" w:cs="Arial"/>
          <w:color w:val="000000" w:themeColor="text1"/>
          <w:sz w:val="20"/>
          <w:szCs w:val="18"/>
        </w:rPr>
      </w:pPr>
      <w:r w:rsidRPr="00325765">
        <w:rPr>
          <w:rFonts w:ascii="Palatino Linotype" w:eastAsia="Calibri" w:hAnsi="Palatino Linotype" w:cs="Arial"/>
          <w:color w:val="000000" w:themeColor="text1"/>
          <w:sz w:val="20"/>
          <w:szCs w:val="18"/>
        </w:rPr>
        <w:t>Esta hoja corresponde al voto particular emitido en la resolución del recurso de revisión 0</w:t>
      </w:r>
      <w:r w:rsidR="00FA0C50" w:rsidRPr="00325765">
        <w:rPr>
          <w:rFonts w:ascii="Palatino Linotype" w:eastAsia="Calibri" w:hAnsi="Palatino Linotype" w:cs="Arial"/>
          <w:color w:val="000000" w:themeColor="text1"/>
          <w:sz w:val="20"/>
          <w:szCs w:val="18"/>
        </w:rPr>
        <w:t>4103</w:t>
      </w:r>
      <w:r w:rsidRPr="00325765">
        <w:rPr>
          <w:rFonts w:ascii="Palatino Linotype" w:eastAsia="Calibri" w:hAnsi="Palatino Linotype" w:cs="Arial"/>
          <w:color w:val="000000" w:themeColor="text1"/>
          <w:sz w:val="20"/>
          <w:szCs w:val="18"/>
        </w:rPr>
        <w:t xml:space="preserve">/INFOEM/IP/RR/2018, aprobada el </w:t>
      </w:r>
      <w:r w:rsidR="00FA0C50" w:rsidRPr="00325765">
        <w:rPr>
          <w:rFonts w:ascii="Palatino Linotype" w:eastAsia="Calibri" w:hAnsi="Palatino Linotype" w:cs="Arial"/>
          <w:color w:val="000000" w:themeColor="text1"/>
          <w:sz w:val="20"/>
          <w:szCs w:val="18"/>
        </w:rPr>
        <w:t xml:space="preserve">dieciséis de enero de </w:t>
      </w:r>
      <w:r w:rsidRPr="00325765">
        <w:rPr>
          <w:rFonts w:ascii="Palatino Linotype" w:eastAsia="Calibri" w:hAnsi="Palatino Linotype" w:cs="Arial"/>
          <w:color w:val="000000" w:themeColor="text1"/>
          <w:sz w:val="20"/>
          <w:szCs w:val="18"/>
        </w:rPr>
        <w:t>dos mil dieci</w:t>
      </w:r>
      <w:r w:rsidR="00FA0C50" w:rsidRPr="00325765">
        <w:rPr>
          <w:rFonts w:ascii="Palatino Linotype" w:eastAsia="Calibri" w:hAnsi="Palatino Linotype" w:cs="Arial"/>
          <w:color w:val="000000" w:themeColor="text1"/>
          <w:sz w:val="20"/>
          <w:szCs w:val="18"/>
        </w:rPr>
        <w:t>nueve</w:t>
      </w:r>
      <w:r w:rsidRPr="00325765">
        <w:rPr>
          <w:rFonts w:ascii="Palatino Linotype" w:eastAsia="Calibri" w:hAnsi="Palatino Linotype" w:cs="Arial"/>
          <w:color w:val="000000" w:themeColor="text1"/>
          <w:sz w:val="20"/>
          <w:szCs w:val="18"/>
        </w:rPr>
        <w:t xml:space="preserve">. </w:t>
      </w:r>
    </w:p>
    <w:p w:rsidR="00325765" w:rsidRPr="00325765" w:rsidRDefault="00325765" w:rsidP="00325765">
      <w:pPr>
        <w:ind w:right="51"/>
        <w:jc w:val="both"/>
        <w:rPr>
          <w:rFonts w:ascii="Palatino Linotype" w:eastAsia="Calibri" w:hAnsi="Palatino Linotype" w:cs="Arial"/>
          <w:color w:val="000000" w:themeColor="text1"/>
          <w:sz w:val="20"/>
          <w:szCs w:val="18"/>
        </w:rPr>
      </w:pPr>
      <w:bookmarkStart w:id="0" w:name="_GoBack"/>
      <w:bookmarkEnd w:id="0"/>
    </w:p>
    <w:p w:rsidR="004A21BD" w:rsidRPr="00B81525" w:rsidRDefault="00103B9C" w:rsidP="00325765">
      <w:pPr>
        <w:ind w:right="51"/>
        <w:jc w:val="both"/>
        <w:rPr>
          <w:sz w:val="18"/>
          <w:szCs w:val="18"/>
        </w:rPr>
      </w:pPr>
      <w:r w:rsidRPr="00325765">
        <w:rPr>
          <w:rFonts w:ascii="Palatino Linotype" w:eastAsia="Calibri" w:hAnsi="Palatino Linotype" w:cs="Arial"/>
          <w:color w:val="000000" w:themeColor="text1"/>
          <w:sz w:val="20"/>
          <w:szCs w:val="18"/>
        </w:rPr>
        <w:t>YSM/AMV</w:t>
      </w:r>
    </w:p>
    <w:sectPr w:rsidR="004A21BD" w:rsidRPr="00B81525" w:rsidSect="00144D6F">
      <w:headerReference w:type="even" r:id="rId7"/>
      <w:headerReference w:type="default" r:id="rId8"/>
      <w:footerReference w:type="default" r:id="rId9"/>
      <w:headerReference w:type="first" r:id="rId10"/>
      <w:pgSz w:w="12240" w:h="15840"/>
      <w:pgMar w:top="2410"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265" w:rsidRDefault="00E95265" w:rsidP="004A21BD">
      <w:r>
        <w:separator/>
      </w:r>
    </w:p>
  </w:endnote>
  <w:endnote w:type="continuationSeparator" w:id="0">
    <w:p w:rsidR="00E95265" w:rsidRDefault="00E95265" w:rsidP="004A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95265" w:rsidP="00DC5C4E">
    <w:pPr>
      <w:pStyle w:val="Piedepgina"/>
      <w:tabs>
        <w:tab w:val="clear" w:pos="4252"/>
        <w:tab w:val="left" w:pos="4228"/>
      </w:tabs>
      <w:rPr>
        <w:rFonts w:ascii="Palatino Linotype" w:hAnsi="Palatino Linotype" w:cs="Arial"/>
        <w:b/>
        <w:bCs/>
        <w:sz w:val="20"/>
        <w:szCs w:val="20"/>
      </w:rPr>
    </w:pPr>
  </w:p>
  <w:p w:rsidR="005C7C8F" w:rsidRDefault="00E95265" w:rsidP="00DC5C4E">
    <w:pPr>
      <w:pStyle w:val="Piedepgina"/>
      <w:tabs>
        <w:tab w:val="clear" w:pos="4252"/>
        <w:tab w:val="left" w:pos="4228"/>
      </w:tabs>
      <w:rPr>
        <w:rFonts w:ascii="Palatino Linotype" w:hAnsi="Palatino Linotype" w:cs="Arial"/>
        <w:b/>
        <w:bCs/>
        <w:sz w:val="20"/>
        <w:szCs w:val="20"/>
      </w:rPr>
    </w:pPr>
  </w:p>
  <w:p w:rsidR="005C7C8F" w:rsidRDefault="00E95265" w:rsidP="00DC5C4E">
    <w:pPr>
      <w:pStyle w:val="Piedepgina"/>
      <w:tabs>
        <w:tab w:val="clear" w:pos="4252"/>
        <w:tab w:val="left" w:pos="4228"/>
      </w:tabs>
      <w:rPr>
        <w:rFonts w:ascii="Palatino Linotype" w:hAnsi="Palatino Linotype" w:cs="Arial"/>
        <w:b/>
        <w:bCs/>
        <w:sz w:val="20"/>
        <w:szCs w:val="20"/>
      </w:rPr>
    </w:pPr>
  </w:p>
  <w:p w:rsidR="005C7C8F" w:rsidRDefault="00E95265" w:rsidP="00DC5C4E">
    <w:pPr>
      <w:pStyle w:val="Piedepgina"/>
      <w:rPr>
        <w:rFonts w:ascii="Palatino Linotype" w:hAnsi="Palatino Linotype" w:cs="Arial"/>
        <w:b/>
        <w:bCs/>
        <w:sz w:val="20"/>
        <w:szCs w:val="20"/>
      </w:rPr>
    </w:pPr>
  </w:p>
  <w:p w:rsidR="005C7C8F" w:rsidRPr="00F12350" w:rsidRDefault="006F5FAC"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25765">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25765">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rsidR="005C7C8F" w:rsidRDefault="00E95265"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265" w:rsidRDefault="00E95265" w:rsidP="004A21BD">
      <w:r>
        <w:separator/>
      </w:r>
    </w:p>
  </w:footnote>
  <w:footnote w:type="continuationSeparator" w:id="0">
    <w:p w:rsidR="00E95265" w:rsidRDefault="00E95265" w:rsidP="004A2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9526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F5FAC"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1A887018" wp14:editId="7F41118C">
          <wp:simplePos x="0" y="0"/>
          <wp:positionH relativeFrom="column">
            <wp:posOffset>-631825</wp:posOffset>
          </wp:positionH>
          <wp:positionV relativeFrom="paragraph">
            <wp:posOffset>-357979</wp:posOffset>
          </wp:positionV>
          <wp:extent cx="7604125" cy="9903460"/>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E95265" w:rsidP="00DC5C4E">
    <w:pPr>
      <w:pStyle w:val="Encabezado"/>
      <w:tabs>
        <w:tab w:val="clear" w:pos="4252"/>
        <w:tab w:val="clear" w:pos="8504"/>
        <w:tab w:val="left" w:pos="2326"/>
      </w:tabs>
      <w:jc w:val="right"/>
      <w:rPr>
        <w:rFonts w:ascii="Palatino Linotype" w:hAnsi="Palatino Linotype"/>
      </w:rPr>
    </w:pPr>
  </w:p>
  <w:p w:rsidR="00C81447" w:rsidRDefault="00325765" w:rsidP="00C81447">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325765"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Pr="00C70E10">
      <w:rPr>
        <w:rFonts w:ascii="Palatino Linotype" w:hAnsi="Palatino Linotype" w:cs="Arial"/>
        <w:sz w:val="20"/>
        <w:szCs w:val="20"/>
      </w:rPr>
      <w:t>0</w:t>
    </w:r>
    <w:r>
      <w:rPr>
        <w:rFonts w:ascii="Palatino Linotype" w:hAnsi="Palatino Linotype" w:cs="Arial"/>
        <w:sz w:val="20"/>
        <w:szCs w:val="20"/>
      </w:rPr>
      <w:t>4103</w:t>
    </w:r>
    <w:r w:rsidRPr="00C70E10">
      <w:rPr>
        <w:rFonts w:ascii="Palatino Linotype" w:hAnsi="Palatino Linotype" w:cs="Arial"/>
        <w:sz w:val="20"/>
        <w:szCs w:val="20"/>
      </w:rPr>
      <w:t>/INFOEM/IP/RR/201</w:t>
    </w:r>
    <w:r>
      <w:rPr>
        <w:rFonts w:ascii="Palatino Linotype" w:hAnsi="Palatino Linotype" w:cs="Arial"/>
        <w:sz w:val="20"/>
        <w:szCs w:val="20"/>
      </w:rPr>
      <w:t>8</w:t>
    </w:r>
  </w:p>
  <w:p w:rsidR="00BD53DA" w:rsidRDefault="00E95265"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9.9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9526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A3CE6"/>
    <w:multiLevelType w:val="hybridMultilevel"/>
    <w:tmpl w:val="5BA2F13C"/>
    <w:lvl w:ilvl="0" w:tplc="BB66A9C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34317490"/>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18077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4A277963"/>
    <w:multiLevelType w:val="hybridMultilevel"/>
    <w:tmpl w:val="6B484738"/>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 w15:restartNumberingAfterBreak="0">
    <w:nsid w:val="55DA5904"/>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C06CE4"/>
    <w:multiLevelType w:val="hybridMultilevel"/>
    <w:tmpl w:val="6B484738"/>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15:restartNumberingAfterBreak="0">
    <w:nsid w:val="76764FF8"/>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7"/>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BD"/>
    <w:rsid w:val="00103B9C"/>
    <w:rsid w:val="00325765"/>
    <w:rsid w:val="003A75CC"/>
    <w:rsid w:val="00416F7B"/>
    <w:rsid w:val="004A21BD"/>
    <w:rsid w:val="006F5FAC"/>
    <w:rsid w:val="00C23B43"/>
    <w:rsid w:val="00C9714C"/>
    <w:rsid w:val="00E95265"/>
    <w:rsid w:val="00FA0C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8DC439D-D7EA-40E7-BFBD-03B9AF18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1B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21B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A21BD"/>
    <w:rPr>
      <w:rFonts w:eastAsiaTheme="minorEastAsia"/>
      <w:sz w:val="24"/>
      <w:szCs w:val="24"/>
      <w:lang w:val="es-ES_tradnl" w:eastAsia="es-ES"/>
    </w:rPr>
  </w:style>
  <w:style w:type="paragraph" w:styleId="Piedepgina">
    <w:name w:val="footer"/>
    <w:basedOn w:val="Normal"/>
    <w:link w:val="PiedepginaCar"/>
    <w:uiPriority w:val="99"/>
    <w:unhideWhenUsed/>
    <w:rsid w:val="004A21B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A21B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A21BD"/>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A21BD"/>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2894</Words>
  <Characters>15921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dcterms:created xsi:type="dcterms:W3CDTF">2019-01-18T20:55:00Z</dcterms:created>
  <dcterms:modified xsi:type="dcterms:W3CDTF">2019-02-12T23:56:00Z</dcterms:modified>
</cp:coreProperties>
</file>